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 w14:paraId="5F8BF546">
      <w:pPr>
        <w:pBdr/>
        <w:shd w:val="clear" w:color="auto" w:fill="ffffff"/>
        <w:spacing/>
        <w:ind w:left="10"/>
        <w:jc w:val="center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5775" cy="647700"/>
                <wp:effectExtent l="0" t="0" r="9525" b="0"/>
                <wp:docPr id="3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4949534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485775" cy="64769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2" o:spid="_x0000_s2" type="#_x0000_t75" style="width:38.25pt;height:51.00pt;mso-wrap-distance-left:0.00pt;mso-wrap-distance-top:0.00pt;mso-wrap-distance-right:0.00pt;mso-wrap-distance-bottom:0.00pt;z-index:1;" stroked="f">
                <v:imagedata r:id="rId11" o:title=""/>
                <o:lock v:ext="edit" rotation="t"/>
              </v:shape>
            </w:pict>
          </mc:Fallback>
        </mc:AlternateContent>
      </w:r>
      <w:r>
        <w:rPr>
          <w:sz w:val="28"/>
          <w:szCs w:val="28"/>
          <w:lang w:val="uk-UA" w:eastAsia="uk-UA"/>
        </w:rPr>
      </w:r>
      <w:r>
        <w:rPr>
          <w:sz w:val="28"/>
          <w:szCs w:val="28"/>
          <w:lang w:val="uk-UA" w:eastAsia="uk-UA"/>
        </w:rPr>
      </w:r>
    </w:p>
    <w:p w14:paraId="1E2B5183">
      <w:pPr>
        <w:pBdr/>
        <w:shd w:val="clear" w:color="auto" w:fill="ffffff"/>
        <w:spacing/>
        <w:ind w:left="10"/>
        <w:jc w:val="center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 w14:paraId="475F0EB6">
      <w:pPr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 w14:paraId="5CDAA60B"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</w:rPr>
        <w:t xml:space="preserve">   ВИКОНАВЧИЙ КОМІТЕТ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 w14:paraId="576CA699">
      <w:pPr>
        <w:pBdr/>
        <w:spacing/>
        <w:ind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70C818F6"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 w14:paraId="7CB090B6">
      <w:pPr>
        <w:pBdr/>
        <w:spacing/>
        <w:ind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 w14:paraId="1BDB642F">
      <w:pPr>
        <w:pBdr/>
        <w:spacing/>
        <w:ind/>
        <w:rPr>
          <w:color w:val="000000" w:themeColor="text1"/>
          <w:spacing w:val="-9"/>
          <w:sz w:val="28"/>
          <w:szCs w:val="28"/>
        </w:rPr>
      </w:pPr>
      <w:r>
        <w:rPr>
          <w:bCs/>
          <w:color w:val="000000"/>
          <w:spacing w:val="-7"/>
          <w:sz w:val="28"/>
          <w:szCs w:val="28"/>
          <w:lang w:val="uk-UA"/>
        </w:rPr>
        <w:t xml:space="preserve">06 серпня</w:t>
      </w:r>
      <w:r>
        <w:rPr>
          <w:spacing w:val="-7"/>
          <w:sz w:val="28"/>
          <w:szCs w:val="28"/>
          <w:lang w:val="uk-UA"/>
        </w:rPr>
        <w:t xml:space="preserve"> 2026</w:t>
      </w:r>
      <w:r>
        <w:rPr>
          <w:spacing w:val="-7"/>
          <w:sz w:val="28"/>
          <w:szCs w:val="28"/>
          <w:lang w:val="uk-UA"/>
        </w:rPr>
        <w:t xml:space="preserve"> року </w:t>
      </w:r>
      <w:r>
        <w:rPr>
          <w:spacing w:val="-9"/>
          <w:sz w:val="28"/>
          <w:szCs w:val="28"/>
          <w:lang w:val="uk-UA"/>
        </w:rPr>
        <w:t xml:space="preserve">         </w:t>
      </w:r>
      <w:r>
        <w:rPr>
          <w:spacing w:val="-9"/>
          <w:sz w:val="28"/>
          <w:szCs w:val="28"/>
          <w:lang w:val="uk-UA"/>
        </w:rPr>
        <w:t xml:space="preserve">               </w:t>
      </w:r>
      <w:r>
        <w:rPr>
          <w:spacing w:val="-9"/>
          <w:sz w:val="28"/>
          <w:szCs w:val="28"/>
          <w:lang w:val="uk-UA"/>
        </w:rPr>
        <w:t xml:space="preserve">       </w:t>
      </w:r>
      <w:r>
        <w:rPr>
          <w:spacing w:val="-9"/>
          <w:sz w:val="28"/>
          <w:szCs w:val="28"/>
          <w:lang w:val="uk-UA"/>
        </w:rPr>
        <w:t xml:space="preserve">м. Берестин</w:t>
      </w:r>
      <w:r>
        <w:rPr>
          <w:spacing w:val="-9"/>
          <w:sz w:val="28"/>
          <w:szCs w:val="28"/>
          <w:lang w:val="uk-UA"/>
        </w:rPr>
        <w:t xml:space="preserve">                       </w:t>
      </w:r>
      <w:r>
        <w:rPr>
          <w:spacing w:val="-9"/>
          <w:sz w:val="28"/>
          <w:szCs w:val="28"/>
          <w:lang w:val="uk-UA"/>
        </w:rPr>
        <w:t xml:space="preserve">                     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  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№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 </w:t>
      </w:r>
      <w:r>
        <w:rPr>
          <w:color w:val="000000" w:themeColor="text1"/>
          <w:spacing w:val="-9"/>
          <w:sz w:val="28"/>
          <w:szCs w:val="28"/>
          <w:lang w:val="uk-UA"/>
        </w:rPr>
        <w:t xml:space="preserve">491</w:t>
      </w:r>
      <w:r>
        <w:rPr>
          <w:color w:val="000000" w:themeColor="text1"/>
          <w:spacing w:val="-9"/>
          <w:sz w:val="28"/>
          <w:szCs w:val="28"/>
          <w:lang w:val="uk-UA"/>
        </w:rPr>
      </w:r>
    </w:p>
    <w:p w14:paraId="5621BE62">
      <w:pPr>
        <w:pBdr/>
        <w:shd w:val="clear" w:color="auto" w:fill="ffffff"/>
        <w:spacing/>
        <w:ind w:right="3968"/>
        <w:jc w:val="both"/>
        <w:rPr>
          <w:b/>
          <w:sz w:val="28"/>
          <w:szCs w:val="22"/>
        </w:rPr>
      </w:pPr>
      <w:r>
        <w:rPr>
          <w:b/>
          <w:sz w:val="28"/>
          <w:szCs w:val="22"/>
        </w:rPr>
      </w:r>
      <w:r>
        <w:rPr>
          <w:b/>
          <w:sz w:val="28"/>
          <w:szCs w:val="22"/>
        </w:rPr>
      </w:r>
      <w:r>
        <w:rPr>
          <w:b/>
          <w:sz w:val="28"/>
          <w:szCs w:val="22"/>
        </w:rPr>
      </w:r>
    </w:p>
    <w:p w14:paraId="5FEB3924">
      <w:pPr>
        <w:pBdr/>
        <w:shd w:val="clear" w:color="auto" w:fill="ffffff"/>
        <w:spacing/>
        <w:ind w:right="3968"/>
        <w:jc w:val="both"/>
        <w:rPr>
          <w:sz w:val="28"/>
          <w:szCs w:val="22"/>
          <w:lang w:val="uk-UA"/>
        </w:rPr>
      </w:pPr>
      <w:r>
        <w:rPr>
          <w:sz w:val="28"/>
          <w:szCs w:val="22"/>
        </w:rPr>
        <w:t xml:space="preserve">Про </w:t>
      </w:r>
      <w:r>
        <w:rPr>
          <w:sz w:val="28"/>
          <w:szCs w:val="22"/>
          <w:lang w:val="uk-UA"/>
        </w:rPr>
        <w:t xml:space="preserve">затвердження</w:t>
      </w:r>
      <w:r>
        <w:rPr>
          <w:lang w:val="uk-UA"/>
        </w:rPr>
        <w:t xml:space="preserve"> </w:t>
      </w:r>
      <w:r>
        <w:rPr>
          <w:sz w:val="28"/>
          <w:szCs w:val="22"/>
          <w:lang w:val="uk-UA"/>
        </w:rPr>
        <w:t xml:space="preserve">середньострокового плану пріоритетних публічних інвестицій </w:t>
      </w:r>
      <w:r>
        <w:rPr>
          <w:sz w:val="28"/>
          <w:szCs w:val="22"/>
          <w:lang w:val="uk-UA"/>
        </w:rPr>
        <w:t xml:space="preserve">Берестин</w:t>
      </w:r>
      <w:r>
        <w:rPr>
          <w:sz w:val="28"/>
          <w:szCs w:val="22"/>
          <w:lang w:val="uk-UA"/>
        </w:rPr>
        <w:t xml:space="preserve">ської міської територіальної громади на 2027-2029 роки</w:t>
      </w:r>
      <w:r>
        <w:rPr>
          <w:sz w:val="28"/>
          <w:szCs w:val="22"/>
          <w:lang w:val="uk-UA"/>
        </w:rPr>
      </w:r>
      <w:r>
        <w:rPr>
          <w:sz w:val="28"/>
          <w:szCs w:val="22"/>
          <w:lang w:val="uk-UA"/>
        </w:rPr>
      </w:r>
    </w:p>
    <w:p w14:paraId="34F53D7A">
      <w:pPr>
        <w:pBdr/>
        <w:tabs>
          <w:tab w:val="left" w:leader="none" w:pos="709"/>
        </w:tabs>
        <w:spacing/>
        <w:ind/>
        <w:jc w:val="both"/>
        <w:rPr>
          <w:sz w:val="28"/>
          <w:szCs w:val="22"/>
          <w:lang w:val="uk-UA"/>
        </w:rPr>
      </w:pPr>
      <w:r>
        <w:rPr>
          <w:sz w:val="28"/>
          <w:szCs w:val="22"/>
          <w:lang w:val="uk-UA"/>
        </w:rPr>
      </w:r>
      <w:r>
        <w:rPr>
          <w:sz w:val="28"/>
          <w:szCs w:val="22"/>
          <w:lang w:val="uk-UA"/>
        </w:rPr>
      </w:r>
      <w:r>
        <w:rPr>
          <w:sz w:val="28"/>
          <w:szCs w:val="22"/>
          <w:lang w:val="uk-UA"/>
        </w:rPr>
      </w:r>
    </w:p>
    <w:p w14:paraId="6A171202">
      <w:pPr>
        <w:pBdr/>
        <w:tabs>
          <w:tab w:val="left" w:leader="none" w:pos="709"/>
        </w:tabs>
        <w:spacing/>
        <w:ind/>
        <w:jc w:val="both"/>
        <w:rPr>
          <w:sz w:val="28"/>
          <w:szCs w:val="22"/>
          <w:lang w:val="uk-UA"/>
        </w:rPr>
      </w:pPr>
      <w:r>
        <w:rPr>
          <w:sz w:val="28"/>
          <w:szCs w:val="22"/>
          <w:lang w:val="uk-UA"/>
        </w:rPr>
        <w:t xml:space="preserve">      </w:t>
      </w:r>
      <w:r>
        <w:rPr>
          <w:sz w:val="28"/>
          <w:szCs w:val="22"/>
          <w:lang w:val="uk-UA"/>
        </w:rPr>
        <w:t xml:space="preserve">З</w:t>
      </w:r>
      <w:r>
        <w:rPr>
          <w:sz w:val="28"/>
          <w:szCs w:val="22"/>
          <w:lang w:val="uk-UA"/>
        </w:rPr>
        <w:t xml:space="preserve"> метою ефективного планування, підготовки та реалізації публічних інвестиційних </w:t>
      </w:r>
      <w:r>
        <w:rPr>
          <w:sz w:val="28"/>
          <w:szCs w:val="22"/>
          <w:lang w:val="uk-UA"/>
        </w:rPr>
        <w:t xml:space="preserve">проєктів</w:t>
      </w:r>
      <w:r>
        <w:rPr>
          <w:sz w:val="28"/>
          <w:szCs w:val="22"/>
          <w:lang w:val="uk-UA"/>
        </w:rPr>
        <w:t xml:space="preserve"> та програм публічних інвестицій на місцевому рівні, </w:t>
      </w:r>
      <w:r>
        <w:rPr>
          <w:sz w:val="28"/>
          <w:szCs w:val="22"/>
          <w:lang w:val="uk-UA"/>
        </w:rPr>
        <w:t xml:space="preserve">в</w:t>
      </w:r>
      <w:r>
        <w:rPr>
          <w:sz w:val="28"/>
          <w:szCs w:val="22"/>
          <w:lang w:val="uk-UA"/>
        </w:rPr>
        <w:t xml:space="preserve">ідповідно до ст</w:t>
      </w:r>
      <w:r>
        <w:rPr>
          <w:sz w:val="28"/>
          <w:szCs w:val="22"/>
          <w:lang w:val="uk-UA"/>
        </w:rPr>
        <w:t xml:space="preserve">атті</w:t>
      </w:r>
      <w:r>
        <w:rPr>
          <w:sz w:val="28"/>
          <w:szCs w:val="22"/>
          <w:lang w:val="uk-UA"/>
        </w:rPr>
        <w:t xml:space="preserve"> 75</w:t>
      </w:r>
      <w:r>
        <w:rPr>
          <w:sz w:val="28"/>
          <w:szCs w:val="22"/>
          <w:lang w:val="uk-UA"/>
        </w:rPr>
        <w:t xml:space="preserve">-</w:t>
      </w:r>
      <w:r>
        <w:rPr>
          <w:sz w:val="28"/>
          <w:szCs w:val="22"/>
          <w:lang w:val="uk-UA"/>
        </w:rPr>
        <w:t xml:space="preserve">2</w:t>
      </w:r>
      <w:r>
        <w:rPr>
          <w:sz w:val="28"/>
          <w:szCs w:val="22"/>
          <w:lang w:val="uk-UA"/>
        </w:rPr>
        <w:t xml:space="preserve"> Бюджетного кодексу України, постанов Кабінету Міністрів України від 14.05.2024 №549 «Про утворення Стратегічної інвестиційної ради», від 28.02.2</w:t>
      </w:r>
      <w:r>
        <w:rPr>
          <w:sz w:val="28"/>
          <w:szCs w:val="22"/>
          <w:lang w:val="uk-UA"/>
        </w:rPr>
        <w:t xml:space="preserve">025 №294 «Про затвердження Порядку розроблення та моніторингу реалізації середньострокового плану пріоритетних публічних інвестицій держави», від 28.02.2025 №527 «Деякі питання управління публічними інвестиціями», рішення виконавчого комітету міської ради </w:t>
      </w:r>
      <w:r>
        <w:rPr>
          <w:sz w:val="28"/>
          <w:szCs w:val="22"/>
          <w:lang w:val="uk-UA"/>
        </w:rPr>
        <w:t xml:space="preserve">від 12.06.2025 №335 </w:t>
      </w:r>
      <w:r>
        <w:rPr>
          <w:sz w:val="28"/>
          <w:szCs w:val="22"/>
          <w:lang w:val="uk-UA"/>
        </w:rPr>
        <w:t xml:space="preserve">«Про </w:t>
      </w:r>
      <w:r>
        <w:rPr>
          <w:sz w:val="28"/>
          <w:szCs w:val="22"/>
          <w:lang w:val="uk-UA"/>
        </w:rPr>
        <w:t xml:space="preserve">утворення Місцевої </w:t>
      </w:r>
      <w:r>
        <w:rPr>
          <w:sz w:val="28"/>
          <w:szCs w:val="22"/>
          <w:lang w:val="uk-UA"/>
        </w:rPr>
        <w:t xml:space="preserve">інвестиційної ради»,</w:t>
      </w:r>
      <w:r>
        <w:rPr>
          <w:sz w:val="28"/>
          <w:szCs w:val="22"/>
          <w:lang w:val="uk-UA"/>
        </w:rPr>
        <w:t xml:space="preserve"> </w:t>
      </w:r>
      <w:r>
        <w:rPr>
          <w:sz w:val="28"/>
          <w:szCs w:val="22"/>
          <w:lang w:val="uk-UA"/>
        </w:rPr>
        <w:t xml:space="preserve"> </w:t>
      </w:r>
      <w:r>
        <w:rPr>
          <w:sz w:val="28"/>
          <w:szCs w:val="22"/>
          <w:lang w:val="uk-UA"/>
        </w:rPr>
        <w:t xml:space="preserve">керуючись </w:t>
      </w:r>
      <w:r>
        <w:rPr>
          <w:sz w:val="28"/>
          <w:szCs w:val="22"/>
          <w:lang w:val="uk-UA"/>
        </w:rPr>
        <w:t xml:space="preserve">статтями 27, 40</w:t>
      </w:r>
      <w:r>
        <w:rPr>
          <w:sz w:val="28"/>
          <w:szCs w:val="22"/>
          <w:lang w:val="uk-UA"/>
        </w:rPr>
        <w:t xml:space="preserve"> </w:t>
      </w:r>
      <w:r>
        <w:rPr>
          <w:sz w:val="28"/>
          <w:szCs w:val="22"/>
          <w:lang w:val="uk-UA"/>
        </w:rPr>
        <w:t xml:space="preserve"> </w:t>
      </w:r>
      <w:r>
        <w:rPr>
          <w:sz w:val="28"/>
          <w:szCs w:val="22"/>
          <w:lang w:val="uk-UA"/>
        </w:rPr>
        <w:t xml:space="preserve">Закону України «Про місцеве самоврядування в Україні», виконавчий комітет </w:t>
      </w:r>
      <w:r>
        <w:rPr>
          <w:sz w:val="28"/>
          <w:szCs w:val="22"/>
          <w:lang w:val="uk-UA"/>
        </w:rPr>
        <w:t xml:space="preserve">Берестин</w:t>
      </w:r>
      <w:r>
        <w:rPr>
          <w:sz w:val="28"/>
          <w:szCs w:val="22"/>
          <w:lang w:val="uk-UA"/>
        </w:rPr>
        <w:t xml:space="preserve">ської міської ради</w:t>
      </w:r>
      <w:r>
        <w:rPr>
          <w:sz w:val="28"/>
          <w:szCs w:val="22"/>
          <w:lang w:val="uk-UA"/>
        </w:rPr>
      </w:r>
      <w:r>
        <w:rPr>
          <w:sz w:val="28"/>
          <w:szCs w:val="22"/>
          <w:lang w:val="uk-UA"/>
        </w:rPr>
      </w:r>
    </w:p>
    <w:p w14:paraId="0635BBB1">
      <w:pPr>
        <w:pBdr/>
        <w:tabs>
          <w:tab w:val="left" w:leader="none" w:pos="709"/>
          <w:tab w:val="left" w:leader="none" w:pos="9214"/>
          <w:tab w:val="left" w:leader="none" w:pos="9355"/>
        </w:tabs>
        <w:spacing/>
        <w:ind/>
        <w:rPr>
          <w:szCs w:val="22"/>
          <w:shd w:val="clear" w:color="auto" w:fill="ffffff"/>
          <w:lang w:val="uk-UA"/>
        </w:rPr>
      </w:pPr>
      <w:r>
        <w:rPr>
          <w:szCs w:val="22"/>
          <w:shd w:val="clear" w:color="auto" w:fill="ffffff"/>
          <w:lang w:val="uk-UA"/>
        </w:rPr>
      </w:r>
      <w:r>
        <w:rPr>
          <w:szCs w:val="22"/>
          <w:shd w:val="clear" w:color="auto" w:fill="ffffff"/>
          <w:lang w:val="uk-UA"/>
        </w:rPr>
      </w:r>
      <w:r>
        <w:rPr>
          <w:szCs w:val="22"/>
          <w:shd w:val="clear" w:color="auto" w:fill="ffffff"/>
          <w:lang w:val="uk-UA"/>
        </w:rPr>
      </w:r>
    </w:p>
    <w:p w14:paraId="47601856">
      <w:pPr>
        <w:pBdr/>
        <w:tabs>
          <w:tab w:val="left" w:leader="none" w:pos="709"/>
          <w:tab w:val="left" w:leader="none" w:pos="9214"/>
          <w:tab w:val="left" w:leader="none" w:pos="9355"/>
        </w:tabs>
        <w:spacing/>
        <w:ind/>
        <w:jc w:val="center"/>
        <w:rPr>
          <w:sz w:val="28"/>
          <w:szCs w:val="22"/>
          <w:shd w:val="clear" w:color="auto" w:fill="ffffff"/>
          <w:lang w:val="uk-UA"/>
        </w:rPr>
      </w:pPr>
      <w:r>
        <w:rPr>
          <w:sz w:val="28"/>
          <w:szCs w:val="22"/>
          <w:shd w:val="clear" w:color="auto" w:fill="ffffff"/>
          <w:lang w:val="uk-UA"/>
        </w:rPr>
        <w:t xml:space="preserve">В</w:t>
      </w:r>
      <w:r>
        <w:rPr>
          <w:sz w:val="28"/>
          <w:szCs w:val="22"/>
          <w:shd w:val="clear" w:color="auto" w:fill="ffffff"/>
        </w:rPr>
        <w:t xml:space="preserve"> </w:t>
      </w:r>
      <w:r>
        <w:rPr>
          <w:sz w:val="28"/>
          <w:szCs w:val="22"/>
          <w:shd w:val="clear" w:color="auto" w:fill="ffffff"/>
          <w:lang w:val="uk-UA"/>
        </w:rPr>
        <w:t xml:space="preserve">И</w:t>
      </w:r>
      <w:r>
        <w:rPr>
          <w:sz w:val="28"/>
          <w:szCs w:val="22"/>
          <w:shd w:val="clear" w:color="auto" w:fill="ffffff"/>
        </w:rPr>
        <w:t xml:space="preserve"> </w:t>
      </w:r>
      <w:r>
        <w:rPr>
          <w:sz w:val="28"/>
          <w:szCs w:val="22"/>
          <w:shd w:val="clear" w:color="auto" w:fill="ffffff"/>
          <w:lang w:val="uk-UA"/>
        </w:rPr>
        <w:t xml:space="preserve">Р</w:t>
      </w:r>
      <w:r>
        <w:rPr>
          <w:sz w:val="28"/>
          <w:szCs w:val="22"/>
          <w:shd w:val="clear" w:color="auto" w:fill="ffffff"/>
        </w:rPr>
        <w:t xml:space="preserve"> </w:t>
      </w:r>
      <w:r>
        <w:rPr>
          <w:sz w:val="28"/>
          <w:szCs w:val="22"/>
          <w:shd w:val="clear" w:color="auto" w:fill="ffffff"/>
        </w:rPr>
        <w:t xml:space="preserve">I</w:t>
      </w:r>
      <w:r>
        <w:rPr>
          <w:sz w:val="28"/>
          <w:szCs w:val="22"/>
          <w:shd w:val="clear" w:color="auto" w:fill="ffffff"/>
        </w:rPr>
        <w:t xml:space="preserve"> </w:t>
      </w:r>
      <w:r>
        <w:rPr>
          <w:sz w:val="28"/>
          <w:szCs w:val="22"/>
          <w:shd w:val="clear" w:color="auto" w:fill="ffffff"/>
          <w:lang w:val="uk-UA"/>
        </w:rPr>
        <w:t xml:space="preserve">Ш</w:t>
      </w:r>
      <w:r>
        <w:rPr>
          <w:sz w:val="28"/>
          <w:szCs w:val="22"/>
          <w:shd w:val="clear" w:color="auto" w:fill="ffffff"/>
        </w:rPr>
        <w:t xml:space="preserve"> </w:t>
      </w:r>
      <w:r>
        <w:rPr>
          <w:sz w:val="28"/>
          <w:szCs w:val="22"/>
          <w:shd w:val="clear" w:color="auto" w:fill="ffffff"/>
          <w:lang w:val="uk-UA"/>
        </w:rPr>
        <w:t xml:space="preserve">И</w:t>
      </w:r>
      <w:r>
        <w:rPr>
          <w:sz w:val="28"/>
          <w:szCs w:val="22"/>
          <w:shd w:val="clear" w:color="auto" w:fill="ffffff"/>
        </w:rPr>
        <w:t xml:space="preserve"> </w:t>
      </w:r>
      <w:r>
        <w:rPr>
          <w:sz w:val="28"/>
          <w:szCs w:val="22"/>
          <w:shd w:val="clear" w:color="auto" w:fill="ffffff"/>
          <w:lang w:val="uk-UA"/>
        </w:rPr>
        <w:t xml:space="preserve">В:</w:t>
      </w:r>
      <w:r>
        <w:rPr>
          <w:sz w:val="28"/>
          <w:szCs w:val="22"/>
          <w:shd w:val="clear" w:color="auto" w:fill="ffffff"/>
          <w:lang w:val="uk-UA"/>
        </w:rPr>
      </w:r>
      <w:r>
        <w:rPr>
          <w:sz w:val="28"/>
          <w:szCs w:val="22"/>
          <w:shd w:val="clear" w:color="auto" w:fill="ffffff"/>
          <w:lang w:val="uk-UA"/>
        </w:rPr>
      </w:r>
    </w:p>
    <w:p w14:paraId="4780EB0D">
      <w:pPr>
        <w:pBdr/>
        <w:tabs>
          <w:tab w:val="left" w:leader="none" w:pos="709"/>
          <w:tab w:val="left" w:leader="none" w:pos="9214"/>
          <w:tab w:val="left" w:leader="none" w:pos="9355"/>
        </w:tabs>
        <w:spacing/>
        <w:ind/>
        <w:jc w:val="center"/>
        <w:rPr>
          <w:sz w:val="28"/>
          <w:szCs w:val="22"/>
          <w:shd w:val="clear" w:color="auto" w:fill="ffffff"/>
          <w:lang w:val="uk-UA"/>
        </w:rPr>
      </w:pPr>
      <w:r>
        <w:rPr>
          <w:sz w:val="28"/>
          <w:szCs w:val="22"/>
          <w:shd w:val="clear" w:color="auto" w:fill="ffffff"/>
          <w:lang w:val="uk-UA"/>
        </w:rPr>
      </w:r>
      <w:r>
        <w:rPr>
          <w:sz w:val="28"/>
          <w:szCs w:val="22"/>
          <w:shd w:val="clear" w:color="auto" w:fill="ffffff"/>
          <w:lang w:val="uk-UA"/>
        </w:rPr>
      </w:r>
      <w:r>
        <w:rPr>
          <w:sz w:val="28"/>
          <w:szCs w:val="22"/>
          <w:shd w:val="clear" w:color="auto" w:fill="ffffff"/>
          <w:lang w:val="uk-UA"/>
        </w:rPr>
      </w:r>
    </w:p>
    <w:p w14:paraId="3D8DC77A">
      <w:pPr>
        <w:pBdr/>
        <w:tabs>
          <w:tab w:val="left" w:leader="none" w:pos="709"/>
          <w:tab w:val="left" w:leader="none" w:pos="9214"/>
          <w:tab w:val="left" w:leader="none" w:pos="9355"/>
        </w:tabs>
        <w:spacing/>
        <w:ind/>
        <w:jc w:val="both"/>
        <w:rPr>
          <w:bCs/>
          <w:sz w:val="28"/>
          <w:szCs w:val="28"/>
          <w:shd w:val="clear" w:color="auto" w:fill="ffffff"/>
          <w:lang w:val="uk-UA"/>
        </w:rPr>
      </w:pPr>
      <w:r>
        <w:rPr>
          <w:bCs/>
          <w:sz w:val="28"/>
          <w:szCs w:val="22"/>
          <w:shd w:val="clear" w:color="auto" w:fill="ffffff"/>
          <w:lang w:val="uk-UA"/>
        </w:rPr>
        <w:t xml:space="preserve">   </w:t>
      </w:r>
      <w:r>
        <w:rPr>
          <w:bCs/>
          <w:sz w:val="28"/>
          <w:szCs w:val="22"/>
          <w:shd w:val="clear" w:color="auto" w:fill="ffffff"/>
          <w:lang w:val="uk-UA"/>
        </w:rPr>
        <w:t xml:space="preserve">   </w:t>
      </w:r>
      <w:r>
        <w:rPr>
          <w:bCs/>
          <w:sz w:val="28"/>
          <w:szCs w:val="22"/>
          <w:shd w:val="clear" w:color="auto" w:fill="ffffff"/>
          <w:lang w:val="uk-UA"/>
        </w:rPr>
        <w:t xml:space="preserve"> </w:t>
      </w:r>
      <w:r>
        <w:rPr>
          <w:bCs/>
          <w:sz w:val="28"/>
          <w:szCs w:val="22"/>
          <w:shd w:val="clear" w:color="auto" w:fill="ffffff"/>
          <w:lang w:val="uk-UA"/>
        </w:rPr>
        <w:t xml:space="preserve">  </w:t>
      </w:r>
      <w:r>
        <w:rPr>
          <w:bCs/>
          <w:sz w:val="28"/>
          <w:szCs w:val="22"/>
          <w:shd w:val="clear" w:color="auto" w:fill="ffffff"/>
          <w:lang w:val="uk-UA"/>
        </w:rPr>
        <w:t xml:space="preserve"> </w:t>
      </w:r>
      <w:r>
        <w:rPr>
          <w:bCs/>
          <w:sz w:val="28"/>
          <w:szCs w:val="28"/>
          <w:shd w:val="clear" w:color="auto" w:fill="ffffff"/>
          <w:lang w:val="uk-UA"/>
        </w:rPr>
        <w:t xml:space="preserve">1. </w:t>
      </w:r>
      <w:r>
        <w:rPr>
          <w:bCs/>
          <w:sz w:val="28"/>
          <w:szCs w:val="28"/>
          <w:shd w:val="clear" w:color="auto" w:fill="ffffff"/>
          <w:lang w:val="uk-UA"/>
        </w:rPr>
        <w:t xml:space="preserve">Затвердити </w:t>
      </w:r>
      <w:r>
        <w:rPr>
          <w:sz w:val="28"/>
          <w:szCs w:val="28"/>
          <w:lang w:val="uk-UA"/>
        </w:rPr>
        <w:t xml:space="preserve">середньостроковий план пріоритетних публічних інве</w:t>
      </w:r>
      <w:r>
        <w:rPr>
          <w:sz w:val="28"/>
          <w:szCs w:val="28"/>
          <w:lang w:val="uk-UA"/>
        </w:rPr>
        <w:t xml:space="preserve">стицій </w:t>
      </w:r>
      <w:r>
        <w:rPr>
          <w:sz w:val="28"/>
          <w:szCs w:val="28"/>
          <w:lang w:val="uk-UA"/>
        </w:rPr>
        <w:t xml:space="preserve">Берестинс</w:t>
      </w:r>
      <w:r>
        <w:rPr>
          <w:sz w:val="28"/>
          <w:szCs w:val="28"/>
          <w:lang w:val="uk-UA"/>
        </w:rPr>
        <w:t xml:space="preserve">ької міської територіальної громади на 2027-2029 роки (</w:t>
      </w:r>
      <w:r>
        <w:rPr>
          <w:sz w:val="28"/>
          <w:szCs w:val="28"/>
          <w:lang w:val="uk-UA"/>
        </w:rPr>
        <w:t xml:space="preserve">додається</w:t>
      </w:r>
      <w:r>
        <w:rPr>
          <w:sz w:val="28"/>
          <w:szCs w:val="28"/>
          <w:lang w:val="uk-UA"/>
        </w:rPr>
        <w:t xml:space="preserve">), що попередньо схвалений </w:t>
      </w:r>
      <w:r>
        <w:rPr>
          <w:sz w:val="28"/>
          <w:szCs w:val="28"/>
          <w:lang w:val="uk-UA"/>
        </w:rPr>
        <w:t xml:space="preserve">Місцевою</w:t>
      </w:r>
      <w:r>
        <w:rPr>
          <w:sz w:val="28"/>
          <w:szCs w:val="28"/>
          <w:lang w:val="uk-UA"/>
        </w:rPr>
        <w:t xml:space="preserve"> інвестиційною радою.</w:t>
      </w:r>
      <w:r>
        <w:rPr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shd w:val="clear" w:color="auto" w:fill="ffffff"/>
          <w:lang w:val="uk-UA"/>
        </w:rPr>
      </w:r>
      <w:r>
        <w:rPr>
          <w:bCs/>
          <w:sz w:val="28"/>
          <w:szCs w:val="28"/>
          <w:shd w:val="clear" w:color="auto" w:fill="ffffff"/>
          <w:lang w:val="uk-UA"/>
        </w:rPr>
      </w:r>
    </w:p>
    <w:p w14:paraId="7D696A0E">
      <w:pPr>
        <w:pBdr/>
        <w:shd w:val="clear" w:color="auto" w:fill="ffffff"/>
        <w:tabs>
          <w:tab w:val="left" w:leader="none" w:pos="284"/>
        </w:tabs>
        <w:spacing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  2. Керівникам структурних підрозділів та виконавчих органів </w:t>
      </w:r>
      <w:r>
        <w:rPr>
          <w:sz w:val="28"/>
          <w:szCs w:val="28"/>
          <w:lang w:val="uk-UA"/>
        </w:rPr>
        <w:t xml:space="preserve">Берестин</w:t>
      </w:r>
      <w:r>
        <w:rPr>
          <w:sz w:val="28"/>
          <w:szCs w:val="28"/>
          <w:lang w:val="uk-UA"/>
        </w:rPr>
        <w:t xml:space="preserve">ської </w:t>
      </w:r>
      <w:r>
        <w:rPr>
          <w:sz w:val="28"/>
          <w:szCs w:val="28"/>
          <w:lang w:val="uk-UA"/>
        </w:rPr>
        <w:t xml:space="preserve">міської</w:t>
      </w:r>
      <w:r>
        <w:rPr>
          <w:sz w:val="28"/>
          <w:szCs w:val="28"/>
          <w:lang w:val="uk-UA"/>
        </w:rPr>
        <w:t xml:space="preserve"> ради забезпечити виконання </w:t>
      </w:r>
      <w:r>
        <w:rPr>
          <w:sz w:val="28"/>
          <w:szCs w:val="28"/>
          <w:lang w:val="uk-UA"/>
        </w:rPr>
        <w:t xml:space="preserve">та моніторинг </w:t>
      </w:r>
      <w:r>
        <w:rPr>
          <w:sz w:val="28"/>
          <w:szCs w:val="28"/>
          <w:lang w:val="uk-UA"/>
        </w:rPr>
        <w:t xml:space="preserve">середньострокового плану пріоритетних публічних інве</w:t>
      </w:r>
      <w:r>
        <w:rPr>
          <w:sz w:val="28"/>
          <w:szCs w:val="28"/>
          <w:lang w:val="uk-UA"/>
        </w:rPr>
        <w:t xml:space="preserve">стицій Берестин</w:t>
      </w:r>
      <w:r>
        <w:rPr>
          <w:sz w:val="28"/>
          <w:szCs w:val="28"/>
          <w:lang w:val="uk-UA"/>
        </w:rPr>
        <w:t xml:space="preserve">ської міської</w:t>
      </w:r>
      <w:r>
        <w:rPr>
          <w:sz w:val="28"/>
          <w:szCs w:val="28"/>
          <w:lang w:val="uk-UA"/>
        </w:rPr>
        <w:t xml:space="preserve"> територіальної громади на 2027- 2029 роки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514BE123">
      <w:pPr>
        <w:pBdr/>
        <w:tabs>
          <w:tab w:val="left" w:leader="none" w:pos="142"/>
          <w:tab w:val="left" w:leader="none" w:pos="1815"/>
        </w:tabs>
        <w:spacing/>
        <w:ind/>
        <w:jc w:val="both"/>
        <w:rPr>
          <w:b/>
          <w:i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</w:t>
      </w:r>
      <w:r>
        <w:rPr>
          <w:sz w:val="28"/>
          <w:szCs w:val="28"/>
        </w:rPr>
        <w:t xml:space="preserve">3.</w:t>
      </w:r>
      <w:r>
        <w:rPr>
          <w:b/>
          <w:i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 xml:space="preserve">Контроль </w:t>
      </w:r>
      <w:r>
        <w:rPr>
          <w:spacing w:val="-6"/>
          <w:sz w:val="28"/>
          <w:szCs w:val="28"/>
          <w:lang w:val="uk-UA"/>
        </w:rPr>
        <w:t xml:space="preserve">за виконанням даного</w:t>
      </w:r>
      <w:r>
        <w:rPr>
          <w:spacing w:val="-6"/>
          <w:sz w:val="28"/>
          <w:szCs w:val="28"/>
          <w:lang w:val="uk-UA"/>
        </w:rPr>
        <w:t xml:space="preserve"> рішення</w:t>
      </w:r>
      <w:r>
        <w:rPr>
          <w:spacing w:val="-6"/>
          <w:sz w:val="28"/>
          <w:szCs w:val="28"/>
          <w:lang w:val="uk-UA"/>
        </w:rPr>
        <w:t xml:space="preserve"> залишаю за собою. </w:t>
      </w:r>
      <w:r>
        <w:rPr>
          <w:b/>
          <w:i/>
          <w:sz w:val="28"/>
          <w:szCs w:val="28"/>
          <w:lang w:val="uk-UA"/>
        </w:rPr>
      </w:r>
      <w:r>
        <w:rPr>
          <w:b/>
          <w:i/>
          <w:sz w:val="28"/>
          <w:szCs w:val="28"/>
          <w:lang w:val="uk-UA"/>
        </w:rPr>
      </w:r>
    </w:p>
    <w:p w14:paraId="0A0BBC4C">
      <w:pPr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64CA317F">
      <w:pPr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 w14:paraId="76644E31">
      <w:pPr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 w14:paraId="0CD9433C">
      <w:pPr>
        <w:pBdr/>
        <w:spacing/>
        <w:ind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М</w:t>
      </w:r>
      <w:r>
        <w:rPr>
          <w:sz w:val="28"/>
          <w:szCs w:val="28"/>
          <w:lang w:val="uk-UA"/>
        </w:rPr>
        <w:t xml:space="preserve">іський голова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</w:t>
      </w:r>
      <w:r>
        <w:rPr>
          <w:sz w:val="28"/>
          <w:szCs w:val="28"/>
          <w:lang w:val="uk-UA"/>
        </w:rPr>
        <w:tab/>
        <w:t xml:space="preserve">                                 Світлана КРИВЕНКО </w:t>
      </w:r>
      <w:r>
        <w:rPr>
          <w:sz w:val="28"/>
          <w:szCs w:val="28"/>
        </w:rPr>
      </w:r>
      <w:r>
        <w:rPr>
          <w:sz w:val="28"/>
          <w:szCs w:val="28"/>
          <w:highlight w:val="none"/>
          <w:lang w:val="uk-UA"/>
        </w:rPr>
      </w:r>
    </w:p>
    <w:p w14:paraId="7F18636A">
      <w:pPr>
        <w:pBdr/>
        <w:spacing/>
        <w:ind/>
        <w:rPr>
          <w:sz w:val="28"/>
          <w:szCs w:val="28"/>
        </w:rPr>
      </w:pP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</w:rPr>
      </w:r>
    </w:p>
    <w:p w14:paraId="3A1E4840">
      <w:pPr>
        <w:pBdr/>
        <w:spacing/>
        <w:ind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</w:p>
    <w:p w14:paraId="3E3EC3ED">
      <w:pPr>
        <w:pBdr/>
        <w:spacing/>
        <w:ind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</w:p>
    <w:p w14:paraId="59C499BB">
      <w:pPr>
        <w:pBdr/>
        <w:spacing/>
        <w:ind w:left="5387"/>
        <w:jc w:val="both"/>
        <w:rPr>
          <w:lang w:val="uk-UA"/>
        </w:rPr>
      </w:pPr>
      <w:r>
        <w:rPr>
          <w:lang w:val="uk-UA"/>
        </w:rPr>
        <w:t xml:space="preserve">Додаток</w:t>
      </w:r>
      <w:r>
        <w:rPr>
          <w:lang w:val="uk-UA"/>
        </w:rPr>
      </w:r>
      <w:r>
        <w:rPr>
          <w:lang w:val="uk-UA"/>
        </w:rPr>
      </w:r>
    </w:p>
    <w:p w14:paraId="7E16D033">
      <w:pPr>
        <w:pBdr/>
        <w:spacing/>
        <w:ind w:left="5387"/>
        <w:jc w:val="both"/>
        <w:rPr>
          <w:lang w:val="uk-UA"/>
        </w:rPr>
      </w:pPr>
      <w:r>
        <w:rPr>
          <w:lang w:val="uk-UA"/>
        </w:rPr>
        <w:t xml:space="preserve">до рішення виконавчого комітету </w:t>
      </w:r>
      <w:r>
        <w:rPr>
          <w:lang w:val="uk-UA"/>
        </w:rPr>
      </w:r>
      <w:r>
        <w:rPr>
          <w:lang w:val="uk-UA"/>
        </w:rPr>
      </w:r>
    </w:p>
    <w:p w14:paraId="0F247651">
      <w:pPr>
        <w:pBdr/>
        <w:spacing/>
        <w:ind w:left="5387"/>
        <w:jc w:val="both"/>
        <w:rPr>
          <w:lang w:val="uk-UA"/>
        </w:rPr>
      </w:pPr>
      <w:r>
        <w:rPr>
          <w:lang w:val="uk-UA"/>
        </w:rPr>
        <w:t xml:space="preserve">Берестинської</w:t>
      </w:r>
      <w:r>
        <w:rPr>
          <w:lang w:val="uk-UA"/>
        </w:rPr>
        <w:t xml:space="preserve"> міської ради</w:t>
      </w:r>
      <w:r>
        <w:rPr>
          <w:lang w:val="uk-UA"/>
        </w:rPr>
      </w:r>
      <w:r>
        <w:rPr>
          <w:lang w:val="uk-UA"/>
        </w:rPr>
      </w:r>
    </w:p>
    <w:p w14:paraId="2EB4BBBF">
      <w:pPr>
        <w:pBdr/>
        <w:spacing/>
        <w:ind w:firstLine="720" w:left="4667"/>
        <w:rPr>
          <w:highlight w:val="none"/>
          <w:lang w:val="uk-UA"/>
        </w:rPr>
      </w:pPr>
      <w:r>
        <w:rPr>
          <w:lang w:val="uk-UA"/>
        </w:rPr>
        <w:t xml:space="preserve">від 06.08.2026</w:t>
      </w:r>
      <w:r>
        <w:rPr>
          <w:lang w:val="uk-UA"/>
        </w:rPr>
        <w:t xml:space="preserve"> №</w:t>
      </w:r>
      <w:r>
        <w:rPr>
          <w:lang w:val="uk-UA"/>
        </w:rPr>
        <w:t xml:space="preserve"> </w:t>
      </w:r>
      <w:r>
        <w:rPr>
          <w:lang w:val="uk-UA"/>
        </w:rPr>
        <w:t xml:space="preserve">491</w:t>
      </w:r>
      <w:r>
        <w:rPr>
          <w:highlight w:val="none"/>
          <w:lang w:val="uk-UA"/>
        </w:rPr>
      </w:r>
    </w:p>
    <w:p w14:paraId="7C23B83B">
      <w:pPr>
        <w:pBdr/>
        <w:spacing/>
        <w:ind w:firstLine="720" w:left="4667"/>
        <w:rPr>
          <w:lang w:val="uk-UA"/>
        </w:rPr>
      </w:pPr>
      <w:r>
        <w:rPr>
          <w:highlight w:val="none"/>
          <w:lang w:val="uk-UA" w:bidi="uk-UA"/>
        </w:rPr>
      </w:r>
      <w:r>
        <w:rPr>
          <w:highlight w:val="none"/>
          <w:lang w:val="uk-UA"/>
        </w:rPr>
      </w:r>
      <w:r>
        <w:rPr>
          <w:lang w:val="uk-UA"/>
        </w:rPr>
      </w:r>
    </w:p>
    <w:p w14:paraId="0BF4053F">
      <w:pPr>
        <w:pStyle w:val="910"/>
        <w:suppressLineNumbers w:val="false"/>
        <w:pBdr/>
        <w:spacing w:after="0" w:afterAutospacing="0" w:before="0" w:beforeAutospacing="0"/>
        <w:ind w:right="0"/>
        <w:contextualSpacing w:val="true"/>
        <w:jc w:val="center"/>
        <w:rPr>
          <w:rFonts w:ascii="Times New Roman" w:hAnsi="Times New Roman" w:cs="Times New Roman"/>
          <w:b/>
          <w:bCs/>
          <w:color w:val="auto"/>
          <w:sz w:val="32"/>
          <w:szCs w:val="32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32"/>
          <w:szCs w:val="32"/>
        </w:rPr>
        <w:t xml:space="preserve">Середньостроковий план</w:t>
      </w:r>
      <w:r>
        <w:rPr>
          <w:rFonts w:ascii="Times New Roman" w:hAnsi="Times New Roman" w:cs="Times New Roman"/>
          <w:b/>
          <w:bCs/>
          <w:color w:val="auto"/>
          <w:sz w:val="32"/>
          <w:szCs w:val="32"/>
        </w:rPr>
      </w:r>
      <w:r>
        <w:rPr>
          <w:rFonts w:ascii="Times New Roman" w:hAnsi="Times New Roman" w:cs="Times New Roman"/>
          <w:b/>
          <w:bCs/>
          <w:color w:val="auto"/>
          <w:sz w:val="32"/>
          <w:szCs w:val="32"/>
        </w:rPr>
      </w:r>
    </w:p>
    <w:p w14:paraId="669E2C8A">
      <w:pPr>
        <w:pStyle w:val="910"/>
        <w:suppressLineNumbers w:val="false"/>
        <w:pBdr/>
        <w:spacing w:after="0" w:afterAutospacing="0" w:before="0" w:beforeAutospacing="0"/>
        <w:ind w:right="0"/>
        <w:contextualSpacing w:val="true"/>
        <w:jc w:val="center"/>
        <w:rPr>
          <w:rFonts w:ascii="Times New Roman" w:hAnsi="Times New Roman" w:cs="Times New Roman"/>
          <w:b/>
          <w:bCs/>
          <w:color w:val="auto"/>
          <w:sz w:val="32"/>
          <w:szCs w:val="32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32"/>
          <w:szCs w:val="32"/>
        </w:rPr>
        <w:t xml:space="preserve">пріоритетних</w:t>
      </w:r>
      <w:r>
        <w:rPr>
          <w:rFonts w:ascii="Times New Roman" w:hAnsi="Times New Roman" w:eastAsia="Times New Roman" w:cs="Times New Roman"/>
          <w:b/>
          <w:bCs/>
          <w:color w:val="auto"/>
          <w:spacing w:val="-12"/>
          <w:sz w:val="32"/>
          <w:szCs w:val="32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auto"/>
          <w:sz w:val="32"/>
          <w:szCs w:val="32"/>
        </w:rPr>
        <w:t xml:space="preserve">публічних</w:t>
      </w:r>
      <w:r>
        <w:rPr>
          <w:rFonts w:ascii="Times New Roman" w:hAnsi="Times New Roman" w:eastAsia="Times New Roman" w:cs="Times New Roman"/>
          <w:b/>
          <w:bCs/>
          <w:color w:val="auto"/>
          <w:spacing w:val="-12"/>
          <w:sz w:val="32"/>
          <w:szCs w:val="32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auto"/>
          <w:sz w:val="32"/>
          <w:szCs w:val="32"/>
        </w:rPr>
        <w:t xml:space="preserve">інвестицій</w:t>
      </w:r>
      <w:r>
        <w:rPr>
          <w:rFonts w:ascii="Times New Roman" w:hAnsi="Times New Roman" w:cs="Times New Roman"/>
          <w:b/>
          <w:bCs/>
          <w:color w:val="auto"/>
          <w:sz w:val="32"/>
          <w:szCs w:val="32"/>
        </w:rPr>
      </w:r>
      <w:r>
        <w:rPr>
          <w:rFonts w:ascii="Times New Roman" w:hAnsi="Times New Roman" w:cs="Times New Roman"/>
          <w:b/>
          <w:bCs/>
          <w:color w:val="auto"/>
          <w:sz w:val="32"/>
          <w:szCs w:val="32"/>
        </w:rPr>
      </w:r>
    </w:p>
    <w:p w14:paraId="0ADBB2CF">
      <w:pPr>
        <w:pStyle w:val="910"/>
        <w:suppressLineNumbers w:val="false"/>
        <w:pBdr/>
        <w:spacing w:after="0" w:afterAutospacing="0" w:before="0" w:beforeAutospacing="0"/>
        <w:ind w:right="0"/>
        <w:contextualSpacing w:val="true"/>
        <w:jc w:val="center"/>
        <w:rPr>
          <w:rFonts w:ascii="Times New Roman" w:hAnsi="Times New Roman" w:cs="Times New Roman"/>
          <w:b/>
          <w:bCs/>
          <w:color w:val="auto"/>
          <w:sz w:val="32"/>
          <w:szCs w:val="32"/>
        </w:rPr>
      </w:pPr>
      <w:r>
        <w:rPr>
          <w:rFonts w:ascii="Times New Roman" w:hAnsi="Times New Roman" w:eastAsia="Times New Roman" w:cs="Times New Roman"/>
          <w:b/>
          <w:bCs/>
          <w:color w:val="auto"/>
          <w:sz w:val="32"/>
          <w:szCs w:val="32"/>
        </w:rPr>
        <w:t xml:space="preserve">Берестин</w:t>
      </w:r>
      <w:r>
        <w:rPr>
          <w:rFonts w:ascii="Times New Roman" w:hAnsi="Times New Roman" w:eastAsia="Times New Roman" w:cs="Times New Roman"/>
          <w:b/>
          <w:bCs/>
          <w:color w:val="auto"/>
          <w:sz w:val="32"/>
          <w:szCs w:val="32"/>
        </w:rPr>
        <w:t xml:space="preserve">ської міської територіальної громади</w:t>
      </w:r>
      <w:r>
        <w:rPr>
          <w:rFonts w:ascii="Times New Roman" w:hAnsi="Times New Roman" w:cs="Times New Roman"/>
          <w:b/>
          <w:bCs/>
          <w:color w:val="auto"/>
          <w:sz w:val="32"/>
          <w:szCs w:val="32"/>
        </w:rPr>
      </w:r>
      <w:r>
        <w:rPr>
          <w:rFonts w:ascii="Times New Roman" w:hAnsi="Times New Roman" w:cs="Times New Roman"/>
          <w:b/>
          <w:bCs/>
          <w:color w:val="auto"/>
          <w:sz w:val="32"/>
          <w:szCs w:val="32"/>
        </w:rPr>
      </w:r>
    </w:p>
    <w:p w14:paraId="461B0654">
      <w:pPr>
        <w:suppressLineNumbers w:val="false"/>
        <w:pBdr/>
        <w:spacing w:after="0" w:afterAutospacing="0" w:before="0" w:beforeAutospacing="0"/>
        <w:ind w:right="0"/>
        <w:contextualSpacing w:val="true"/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  <w:r>
        <w:rPr>
          <w:rFonts w:ascii="Times New Roman" w:hAnsi="Times New Roman" w:eastAsia="Times New Roman" w:cs="Times New Roman"/>
          <w:b/>
          <w:color w:val="auto"/>
          <w:sz w:val="32"/>
          <w:szCs w:val="32"/>
        </w:rPr>
        <w:t xml:space="preserve">на</w:t>
      </w:r>
      <w:r>
        <w:rPr>
          <w:rFonts w:ascii="Times New Roman" w:hAnsi="Times New Roman" w:eastAsia="Times New Roman" w:cs="Times New Roman"/>
          <w:b/>
          <w:color w:val="auto"/>
          <w:spacing w:val="-4"/>
          <w:sz w:val="32"/>
          <w:szCs w:val="32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32"/>
          <w:szCs w:val="32"/>
        </w:rPr>
        <w:t xml:space="preserve">2027</w:t>
      </w:r>
      <w:r>
        <w:rPr>
          <w:rFonts w:ascii="Times New Roman" w:hAnsi="Times New Roman" w:eastAsia="Times New Roman" w:cs="Times New Roman"/>
          <w:b/>
          <w:color w:val="auto"/>
          <w:spacing w:val="-4"/>
          <w:sz w:val="32"/>
          <w:szCs w:val="32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32"/>
          <w:szCs w:val="32"/>
        </w:rPr>
        <w:t xml:space="preserve">-</w:t>
      </w:r>
      <w:r>
        <w:rPr>
          <w:rFonts w:ascii="Times New Roman" w:hAnsi="Times New Roman" w:eastAsia="Times New Roman" w:cs="Times New Roman"/>
          <w:b/>
          <w:color w:val="auto"/>
          <w:spacing w:val="-6"/>
          <w:sz w:val="32"/>
          <w:szCs w:val="32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z w:val="32"/>
          <w:szCs w:val="32"/>
        </w:rPr>
        <w:t xml:space="preserve">2029</w:t>
      </w:r>
      <w:r>
        <w:rPr>
          <w:rFonts w:ascii="Times New Roman" w:hAnsi="Times New Roman" w:eastAsia="Times New Roman" w:cs="Times New Roman"/>
          <w:b/>
          <w:color w:val="auto"/>
          <w:spacing w:val="-5"/>
          <w:sz w:val="32"/>
          <w:szCs w:val="32"/>
        </w:rPr>
        <w:t xml:space="preserve"> </w:t>
      </w:r>
      <w:r>
        <w:rPr>
          <w:rFonts w:ascii="Times New Roman" w:hAnsi="Times New Roman" w:eastAsia="Times New Roman" w:cs="Times New Roman"/>
          <w:b/>
          <w:color w:val="auto"/>
          <w:spacing w:val="-4"/>
          <w:sz w:val="32"/>
          <w:szCs w:val="32"/>
        </w:rPr>
        <w:t xml:space="preserve">роки</w:t>
      </w:r>
      <w:r>
        <w:rPr>
          <w:rFonts w:ascii="Times New Roman" w:hAnsi="Times New Roman" w:cs="Times New Roman"/>
          <w:b/>
          <w:color w:val="auto"/>
          <w:sz w:val="32"/>
          <w:szCs w:val="32"/>
        </w:rPr>
      </w:r>
      <w:r>
        <w:rPr>
          <w:rFonts w:ascii="Times New Roman" w:hAnsi="Times New Roman" w:cs="Times New Roman"/>
          <w:b/>
          <w:color w:val="auto"/>
          <w:sz w:val="32"/>
          <w:szCs w:val="32"/>
        </w:rPr>
      </w:r>
    </w:p>
    <w:p w14:paraId="73770154">
      <w:pPr>
        <w:suppressLineNumbers w:val="false"/>
        <w:pBdr/>
        <w:spacing w:after="0" w:afterAutospacing="0" w:before="0" w:beforeAutospacing="0"/>
        <w:ind w:right="0" w:firstLine="1208" w:left="2141"/>
        <w:jc w:val="left"/>
        <w:rPr>
          <w:b/>
          <w:bCs/>
          <w:sz w:val="28"/>
          <w:szCs w:val="28"/>
        </w:rPr>
      </w:pPr>
      <w:r>
        <w:rPr>
          <w:b/>
          <w:sz w:val="28"/>
          <w:highlight w:val="none"/>
        </w:rPr>
      </w:r>
      <w:r>
        <w:rPr>
          <w:b/>
          <w:bCs/>
          <w:sz w:val="28"/>
          <w:szCs w:val="28"/>
        </w:rPr>
      </w:r>
      <w:r>
        <w:rPr>
          <w:b/>
          <w:bCs/>
          <w:sz w:val="28"/>
          <w:szCs w:val="28"/>
        </w:rPr>
      </w:r>
    </w:p>
    <w:p w14:paraId="2C9A2A6B">
      <w:pPr>
        <w:suppressLineNumbers w:val="false"/>
        <w:pBdr/>
        <w:spacing w:after="0" w:afterAutospacing="0" w:before="0" w:beforeAutospacing="0"/>
        <w:ind w:right="0" w:firstLine="1208" w:left="2141"/>
        <w:jc w:val="left"/>
        <w:rPr>
          <w:b/>
          <w:bCs/>
          <w:sz w:val="28"/>
          <w:szCs w:val="28"/>
          <w:highlight w:val="none"/>
        </w:rPr>
      </w:pPr>
      <w:r>
        <w:rPr>
          <w:b/>
          <w:sz w:val="28"/>
        </w:rPr>
        <w:t xml:space="preserve">     Загальна частина</w:t>
      </w:r>
      <w:r>
        <w:rPr>
          <w:b/>
          <w:bCs/>
          <w:sz w:val="28"/>
          <w:szCs w:val="28"/>
          <w:highlight w:val="none"/>
        </w:rPr>
      </w:r>
      <w:r>
        <w:rPr>
          <w:b/>
          <w:bCs/>
          <w:sz w:val="28"/>
          <w:szCs w:val="28"/>
          <w:highlight w:val="none"/>
        </w:rPr>
      </w:r>
    </w:p>
    <w:p w14:paraId="693F034B">
      <w:pPr>
        <w:pStyle w:val="973"/>
        <w:suppressLineNumbers w:val="false"/>
        <w:pBdr/>
        <w:spacing w:before="316"/>
        <w:ind w:right="0" w:firstLine="709" w:left="0"/>
        <w:jc w:val="both"/>
        <w:rPr/>
      </w:pPr>
      <w:r>
        <w:t xml:space="preserve">Середньостроковий план пріоритетних публічних інвестицій (далі - середньостроковий план) розроблено відповідно до абзацу другого частини третьої статті 33</w:t>
      </w:r>
      <w:r>
        <w:rPr>
          <w:vertAlign w:val="superscript"/>
        </w:rPr>
        <w:t xml:space="preserve">1</w:t>
      </w:r>
      <w:r>
        <w:t xml:space="preserve"> Бюджетного кодексу України та Порядку розроблення та моніторингу реалізації середньострокового плану пріоритетних публічних інвестицій держави, затвердженого постановою Кабінету Міністрів України від 28 лютого 2025 року № 294.</w:t>
      </w:r>
      <w:r/>
    </w:p>
    <w:p>
      <w:pPr>
        <w:pStyle w:val="973"/>
        <w:pBdr/>
        <w:spacing/>
        <w:ind w:right="286" w:firstLine="709"/>
        <w:rPr/>
      </w:pPr>
      <w:r>
        <w:t xml:space="preserve">У процесі реалізації першого середньострокового плану пріоритетних публічних інвестицій громади на 2026-2028 роки було забезпечено, зокрема, узгодження пріори</w:t>
      </w:r>
      <w:r>
        <w:t xml:space="preserve">тетів публічних інвестицій із документами стратегічного планування на державному, регіональному та місцевому  рівнях, бюджетним плануванням, започатковано формування єдиних підходів до оцінки проектів, формування Єдиного проектного портфеля.</w:t>
      </w:r>
      <w:r/>
    </w:p>
    <w:p>
      <w:pPr>
        <w:pStyle w:val="973"/>
        <w:pBdr/>
        <w:spacing/>
        <w:ind w:right="286" w:firstLine="709"/>
        <w:rPr/>
      </w:pPr>
      <w:r>
        <w:t xml:space="preserve">Затвердження середньострокового плану пріоритетних </w:t>
      </w:r>
      <w:r>
        <w:t xml:space="preserve">публічних інвестицій громади на 2027-2029 роки (далі – СПІ 2027-2029) є необхідним кроком для забезпечення безперервності процесу середньострокового планування на державному рівні.</w:t>
      </w:r>
      <w:r/>
    </w:p>
    <w:p>
      <w:pPr>
        <w:pStyle w:val="973"/>
        <w:pBdr/>
        <w:spacing/>
        <w:ind w:right="286" w:firstLine="709"/>
        <w:rPr/>
      </w:pPr>
      <w:r>
        <w:t xml:space="preserve">Сфера дії СПІ 2027-2029 включає публічні інвестиції,</w:t>
      </w:r>
      <w:r>
        <w:t xml:space="preserve"> що спрямовані на реалізацію проектів та, водночас, не охоплює компенсації за пошкодження та знищення окремих категорій об’єктів нерухомого майна внаслідок бойових дій, терористичних актів і диверсій, спричинених збройною агресією російської федерац</w:t>
      </w:r>
      <w:r>
        <w:t xml:space="preserve">ії проти України, а також гранти, програми підтримки бізнесу, фінансування приватного сектора міжнародними фінансовими організаціями та інші інструменти і форми підтримки бізнесу та громадян, які не є публічними інвестиціями у розумінні Бюджетного кодексу </w:t>
      </w:r>
      <w:r>
        <w:rPr>
          <w:spacing w:val="-2"/>
        </w:rPr>
        <w:t xml:space="preserve">України.</w:t>
      </w:r>
      <w:r/>
    </w:p>
    <w:p>
      <w:pPr>
        <w:pStyle w:val="973"/>
        <w:pBdr/>
        <w:spacing/>
        <w:ind w:right="286" w:firstLine="709"/>
        <w:rPr/>
      </w:pPr>
      <w:r>
        <w:t xml:space="preserve">Визначення пріоритетних галузей (секторів) для публічного інвестування та основних напрямів публічного інвестування здійснюється на основі поєднання</w:t>
      </w:r>
      <w:r>
        <w:rPr>
          <w:spacing w:val="8"/>
        </w:rPr>
        <w:t xml:space="preserve"> </w:t>
      </w:r>
      <w:r>
        <w:t xml:space="preserve">результатів</w:t>
      </w:r>
      <w:r>
        <w:rPr>
          <w:spacing w:val="8"/>
        </w:rPr>
        <w:t xml:space="preserve"> </w:t>
      </w:r>
      <w:r>
        <w:t xml:space="preserve">секторального</w:t>
      </w:r>
      <w:r>
        <w:rPr>
          <w:spacing w:val="8"/>
        </w:rPr>
        <w:t xml:space="preserve"> </w:t>
      </w:r>
      <w:r>
        <w:t xml:space="preserve">аналізу</w:t>
      </w:r>
      <w:r>
        <w:t xml:space="preserve">,</w:t>
      </w:r>
      <w:r>
        <w:rPr>
          <w:spacing w:val="8"/>
        </w:rPr>
        <w:t xml:space="preserve"> </w:t>
      </w:r>
      <w:r>
        <w:t xml:space="preserve">оцінки</w:t>
      </w:r>
      <w:r>
        <w:rPr>
          <w:spacing w:val="8"/>
        </w:rPr>
        <w:t xml:space="preserve"> </w:t>
      </w:r>
      <w:r>
        <w:t xml:space="preserve">їх</w:t>
      </w:r>
      <w:r>
        <w:rPr>
          <w:spacing w:val="8"/>
        </w:rPr>
        <w:t xml:space="preserve"> </w:t>
      </w:r>
      <w:r>
        <w:rPr>
          <w:spacing w:val="-2"/>
        </w:rPr>
        <w:t xml:space="preserve">впливу </w:t>
      </w:r>
      <w:r>
        <w:t xml:space="preserve">на економічну активність та соціальну стабільність, з урахуванням пропозицій (рекомендацій) </w:t>
      </w:r>
      <w:r>
        <w:t xml:space="preserve">Місце</w:t>
      </w:r>
      <w:r>
        <w:t xml:space="preserve">вої інвестиційної ради щодо стратегічних пріоритетів здійснення публічних інвестицій на відповідний середньостроковий період, а також необхідності забезпечення функціонування критичної інфраструктури та відновлення виробничого потенціалу економіки громади.</w:t>
      </w:r>
      <w:r>
        <w:rPr>
          <w:b/>
          <w:bCs/>
          <w:sz w:val="28"/>
          <w:szCs w:val="28"/>
        </w:rPr>
      </w:r>
      <w:r/>
    </w:p>
    <w:p w14:paraId="57BE8F54">
      <w:pPr>
        <w:pBdr/>
        <w:spacing w:before="0"/>
        <w:ind w:right="1" w:firstLine="0" w:left="564"/>
        <w:jc w:val="center"/>
        <w:rPr>
          <w:b/>
          <w:bCs/>
          <w:spacing w:val="-2"/>
          <w:sz w:val="28"/>
          <w:szCs w:val="28"/>
          <w:highlight w:val="none"/>
        </w:rPr>
      </w:pPr>
      <w:r>
        <w:rPr>
          <w:b/>
          <w:spacing w:val="-2"/>
          <w:sz w:val="28"/>
          <w:highlight w:val="none"/>
        </w:rPr>
      </w:r>
      <w:r>
        <w:rPr>
          <w:b/>
          <w:bCs/>
          <w:spacing w:val="-2"/>
          <w:sz w:val="28"/>
          <w:szCs w:val="28"/>
          <w:highlight w:val="none"/>
        </w:rPr>
      </w:r>
      <w:r>
        <w:rPr>
          <w:b/>
          <w:bCs/>
          <w:spacing w:val="-2"/>
          <w:sz w:val="28"/>
          <w:szCs w:val="28"/>
          <w:highlight w:val="none"/>
        </w:rPr>
      </w:r>
    </w:p>
    <w:p>
      <w:pPr>
        <w:pBdr/>
        <w:spacing w:before="0"/>
        <w:ind w:right="1" w:firstLine="0" w:left="564"/>
        <w:jc w:val="center"/>
        <w:rPr>
          <w:b/>
          <w:bCs/>
          <w:spacing w:val="-2"/>
          <w:sz w:val="28"/>
          <w:szCs w:val="28"/>
          <w:highlight w:val="none"/>
        </w:rPr>
      </w:pPr>
      <w:r>
        <w:rPr>
          <w:b/>
          <w:sz w:val="28"/>
        </w:rPr>
        <w:t xml:space="preserve">Описова </w:t>
      </w:r>
      <w:r>
        <w:rPr>
          <w:b/>
          <w:spacing w:val="-2"/>
          <w:sz w:val="28"/>
        </w:rPr>
        <w:t xml:space="preserve">частина</w:t>
      </w:r>
      <w:r>
        <w:rPr>
          <w:b/>
          <w:bCs/>
          <w:spacing w:val="-2"/>
          <w:sz w:val="28"/>
          <w:szCs w:val="28"/>
          <w:highlight w:val="none"/>
        </w:rPr>
      </w:r>
      <w:r>
        <w:rPr>
          <w:b/>
          <w:bCs/>
          <w:spacing w:val="-2"/>
          <w:sz w:val="28"/>
          <w:szCs w:val="28"/>
          <w:highlight w:val="none"/>
        </w:rPr>
      </w:r>
    </w:p>
    <w:p>
      <w:pPr>
        <w:pStyle w:val="973"/>
        <w:pBdr/>
        <w:spacing/>
        <w:ind w:left="0"/>
        <w:jc w:val="left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73"/>
        <w:pBdr/>
        <w:spacing/>
        <w:ind w:right="286" w:firstLine="709"/>
        <w:rPr/>
      </w:pPr>
      <w:r>
        <w:t xml:space="preserve">СПІ 2027-2029 ро</w:t>
      </w:r>
      <w:r>
        <w:t xml:space="preserve">зроблено</w:t>
      </w:r>
      <w:r>
        <w:t xml:space="preserve"> с</w:t>
      </w:r>
      <w:r>
        <w:t xml:space="preserve">ектором </w:t>
      </w:r>
      <w:r>
        <w:t xml:space="preserve">проєктного менеджменту відділу </w:t>
      </w:r>
      <w:r>
        <w:t xml:space="preserve">соціально-економічного розвитку та інвестицій Берестинської міської ради</w:t>
      </w:r>
      <w:r>
        <w:t xml:space="preserve"> на підставі пропозицій </w:t>
      </w:r>
      <w:r>
        <w:t xml:space="preserve">структурних підрозділів міської ради</w:t>
      </w:r>
      <w:r>
        <w:t xml:space="preserve"> відповідно до цілей і завдань, визначених документами стратегічного планування, у межах орієнтовного граничного сукупного обсягу публічних інвестицій на середньостроковий період, доведеного </w:t>
      </w:r>
      <w:r>
        <w:rPr>
          <w:spacing w:val="-10"/>
        </w:rPr>
        <w:t xml:space="preserve">фінансовим управлінням Берестинської міської ради</w:t>
      </w:r>
      <w:r>
        <w:rPr>
          <w:spacing w:val="-2"/>
        </w:rPr>
        <w:t xml:space="preserve">.</w:t>
      </w:r>
      <w:r/>
    </w:p>
    <w:p>
      <w:pPr>
        <w:pStyle w:val="973"/>
        <w:pBdr/>
        <w:spacing/>
        <w:ind w:right="287" w:firstLine="709"/>
        <w:jc w:val="both"/>
        <w:rPr/>
      </w:pPr>
      <w:r>
        <w:t xml:space="preserve">СПІ 2027–2029</w:t>
      </w:r>
      <w:r>
        <w:rPr>
          <w:spacing w:val="40"/>
        </w:rPr>
        <w:t xml:space="preserve"> </w:t>
      </w:r>
      <w:r>
        <w:t xml:space="preserve">структуровано відповідно до онов</w:t>
      </w:r>
      <w:r>
        <w:t xml:space="preserve">леної логіки системи управління публічними інвестиціями та включає визначення наскрізних стратегічних цілей, пріоритетних галузей (секторів) для публічного інвестування, підсекторів галузей (секторів) для публічного інвестування, основних напрямів публічно</w:t>
      </w:r>
      <w:r>
        <w:t xml:space="preserve">го інвестування, у тому числі за діючими проектами та програмами (за наявності), цільових показників напрямів публічного інвестування, орієнтовний розподіл коштів за рахунок усіх джерел фінансування в розрізі галузей (секторів) для публічного інвестування.</w:t>
      </w:r>
      <w:r>
        <w:rPr>
          <w:bCs/>
          <w:i/>
        </w:rPr>
      </w:r>
      <w:r/>
    </w:p>
    <w:p w14:paraId="137D96E2">
      <w:pPr>
        <w:pStyle w:val="973"/>
        <w:pBdr/>
        <w:spacing/>
        <w:ind w:right="287" w:firstLine="709"/>
        <w:jc w:val="center"/>
        <w:rPr>
          <w:bCs/>
          <w:i/>
        </w:rPr>
      </w:pPr>
      <w:r>
        <w:rPr>
          <w:i/>
          <w:iCs/>
          <w:highlight w:val="none"/>
        </w:rPr>
      </w:r>
      <w:r>
        <w:rPr>
          <w:bCs/>
          <w:i/>
        </w:rPr>
      </w:r>
      <w:r>
        <w:rPr>
          <w:bCs/>
          <w:i/>
        </w:rPr>
      </w:r>
    </w:p>
    <w:p w14:paraId="3715748D">
      <w:pPr>
        <w:pStyle w:val="973"/>
        <w:pBdr/>
        <w:spacing/>
        <w:ind w:right="287" w:firstLine="709"/>
        <w:jc w:val="center"/>
        <w:rPr>
          <w:bCs/>
          <w:i/>
          <w:highlight w:val="none"/>
        </w:rPr>
      </w:pPr>
      <w:r>
        <w:rPr>
          <w:i/>
          <w:iCs/>
          <w:highlight w:val="none"/>
        </w:rPr>
      </w:r>
      <w:r>
        <w:rPr>
          <w:bCs/>
          <w:i/>
          <w:highlight w:val="none"/>
        </w:rPr>
      </w:r>
      <w:r>
        <w:rPr>
          <w:bCs/>
          <w:i/>
          <w:highlight w:val="none"/>
        </w:rPr>
      </w:r>
    </w:p>
    <w:p w14:paraId="62A39D4F">
      <w:pPr>
        <w:pStyle w:val="973"/>
        <w:pBdr/>
        <w:spacing/>
        <w:ind w:right="287" w:firstLine="709"/>
        <w:jc w:val="center"/>
        <w:rPr>
          <w:bCs/>
          <w:i/>
          <w:highlight w:val="none"/>
        </w:rPr>
      </w:pPr>
      <w:r>
        <w:rPr>
          <w:i/>
          <w:sz w:val="28"/>
        </w:rPr>
        <w:t xml:space="preserve"> </w:t>
      </w:r>
      <w:r>
        <w:rPr>
          <w:i/>
          <w:iCs/>
        </w:rPr>
        <w:t xml:space="preserve">Наскрізні стратегічні цілі здійснення публічних інвестицій</w:t>
      </w:r>
      <w:r>
        <w:rPr>
          <w:bCs/>
          <w:i/>
          <w:highlight w:val="none"/>
        </w:rPr>
      </w:r>
      <w:r>
        <w:rPr>
          <w:bCs/>
          <w:i/>
          <w:highlight w:val="none"/>
        </w:rPr>
      </w:r>
    </w:p>
    <w:p w14:paraId="66175E84">
      <w:pPr>
        <w:pStyle w:val="973"/>
        <w:pBdr/>
        <w:spacing/>
        <w:ind w:right="287" w:firstLine="709"/>
        <w:jc w:val="center"/>
        <w:rPr>
          <w:bCs/>
          <w:i/>
          <w:highlight w:val="none"/>
        </w:rPr>
      </w:pPr>
      <w:r>
        <w:rPr>
          <w:i/>
          <w:iCs/>
          <w:highlight w:val="none"/>
        </w:rPr>
      </w:r>
      <w:r>
        <w:rPr>
          <w:bCs/>
          <w:i/>
          <w:highlight w:val="none"/>
        </w:rPr>
      </w:r>
      <w:r>
        <w:rPr>
          <w:bCs/>
          <w:i/>
          <w:highlight w:val="none"/>
        </w:rPr>
      </w:r>
    </w:p>
    <w:p>
      <w:pPr>
        <w:pStyle w:val="973"/>
        <w:pBdr/>
        <w:spacing/>
        <w:ind w:right="286" w:firstLine="709"/>
        <w:rPr/>
      </w:pPr>
      <w:r>
        <w:t xml:space="preserve">На 2027-2029</w:t>
      </w:r>
      <w:r>
        <w:rPr>
          <w:spacing w:val="-2"/>
        </w:rPr>
        <w:t xml:space="preserve"> </w:t>
      </w:r>
      <w:r>
        <w:t xml:space="preserve">роки наскрізними стратегічними цілями є енергоефективність, цифровізація, реагування на зміни клімату, гендерна рівність та безбар’єрність (у разі можливості їх застосування).</w:t>
      </w:r>
      <w:r/>
    </w:p>
    <w:p>
      <w:pPr>
        <w:pStyle w:val="973"/>
        <w:pBdr/>
        <w:spacing/>
        <w:ind w:right="286" w:firstLine="709"/>
        <w:rPr>
          <w:highlight w:val="none"/>
        </w:rPr>
      </w:pPr>
      <w:r>
        <w:t xml:space="preserve">Реалізація цих цілей є фундаментальною умовою сталого розвитку та зміцнення соціальної справедливості. Вона передбачає перехід до раціональної моделі енергоспоживання, цифрову трансформацію</w:t>
      </w:r>
      <w:r>
        <w:t xml:space="preserve"> управлінських процесів та адаптацію інфраструктури до кліматичних змін. Особлива увага приділяється створенню безбар’єрного простору, де принципи універсального дизайну та рівності прав гарантують безперешкодний доступ до послуг для всіх верств населення,</w:t>
      </w:r>
      <w:r>
        <w:rPr>
          <w:spacing w:val="-3"/>
        </w:rPr>
        <w:t xml:space="preserve"> </w:t>
      </w:r>
      <w:r>
        <w:t xml:space="preserve">зокрема</w:t>
      </w:r>
      <w:r>
        <w:rPr>
          <w:spacing w:val="-3"/>
        </w:rPr>
        <w:t xml:space="preserve"> </w:t>
      </w:r>
      <w:r>
        <w:t xml:space="preserve">осіб</w:t>
      </w:r>
      <w:r>
        <w:rPr>
          <w:spacing w:val="-3"/>
        </w:rPr>
        <w:t xml:space="preserve"> </w:t>
      </w:r>
      <w:r>
        <w:t xml:space="preserve">з</w:t>
      </w:r>
      <w:r>
        <w:rPr>
          <w:spacing w:val="-3"/>
        </w:rPr>
        <w:t xml:space="preserve"> </w:t>
      </w:r>
      <w:r>
        <w:t xml:space="preserve">інвалідністю</w:t>
      </w:r>
      <w:r>
        <w:rPr>
          <w:spacing w:val="-3"/>
        </w:rPr>
        <w:t xml:space="preserve"> </w:t>
      </w:r>
      <w:r>
        <w:t xml:space="preserve">та</w:t>
      </w:r>
      <w:r>
        <w:rPr>
          <w:spacing w:val="-3"/>
        </w:rPr>
        <w:t xml:space="preserve"> </w:t>
      </w:r>
      <w:r>
        <w:t xml:space="preserve">інших</w:t>
      </w:r>
      <w:r>
        <w:rPr>
          <w:spacing w:val="-3"/>
        </w:rPr>
        <w:t xml:space="preserve"> </w:t>
      </w:r>
      <w:r>
        <w:t xml:space="preserve">маломобільних</w:t>
      </w:r>
      <w:r>
        <w:rPr>
          <w:spacing w:val="-3"/>
        </w:rPr>
        <w:t xml:space="preserve"> </w:t>
      </w:r>
      <w:r>
        <w:t xml:space="preserve">груп</w:t>
      </w:r>
      <w:r>
        <w:rPr>
          <w:spacing w:val="-3"/>
        </w:rPr>
        <w:t xml:space="preserve"> </w:t>
      </w:r>
      <w:r>
        <w:t xml:space="preserve">населення, незалежно від їхньої статі чи соціального статусу. </w:t>
      </w:r>
      <w:r>
        <w:rPr>
          <w:i/>
          <w:sz w:val="28"/>
        </w:rPr>
        <w:t xml:space="preserve">тні галузі (сектори) для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 xml:space="preserve">публіч</w:t>
      </w:r>
      <w:r>
        <w:t xml:space="preserve">Пріоритетні галузі (сектори) для публічного інвестування, що містяться в середньостроковому плані, є ключовими для громади та саме на них спрямовуватимуться публічні інвестиції на середньостроковий період.</w:t>
      </w:r>
      <w:r>
        <w:rPr>
          <w:highlight w:val="none"/>
        </w:rPr>
      </w:r>
      <w:r>
        <w:rPr>
          <w:highlight w:val="none"/>
        </w:rPr>
      </w:r>
    </w:p>
    <w:p w14:paraId="40A92423">
      <w:pPr>
        <w:pStyle w:val="973"/>
        <w:pBdr/>
        <w:spacing/>
        <w:ind w:right="286" w:firstLine="709"/>
        <w:jc w:val="center"/>
        <w:rPr>
          <w:bCs/>
          <w:i/>
          <w:highlight w:val="none"/>
        </w:rPr>
      </w:pPr>
      <w:r>
        <w:rPr>
          <w:i/>
          <w:iCs/>
          <w:highlight w:val="none"/>
        </w:rPr>
      </w:r>
      <w:r>
        <w:rPr>
          <w:i/>
          <w:iCs/>
        </w:rPr>
        <w:t xml:space="preserve">Пріоритетні галузі (сектори) для публічного інвестування</w:t>
      </w:r>
      <w:r>
        <w:rPr>
          <w:bCs/>
          <w:i/>
          <w:highlight w:val="none"/>
        </w:rPr>
      </w:r>
      <w:r>
        <w:rPr>
          <w:bCs/>
          <w:i/>
          <w:highlight w:val="none"/>
        </w:rPr>
      </w:r>
    </w:p>
    <w:p>
      <w:pPr>
        <w:pStyle w:val="973"/>
        <w:pBdr/>
        <w:spacing w:before="1"/>
        <w:ind w:right="287" w:firstLine="709"/>
        <w:rPr>
          <w:highlight w:val="white"/>
        </w:rPr>
      </w:pPr>
      <w:r>
        <w:rPr>
          <w:highlight w:val="white"/>
        </w:rPr>
        <w:t xml:space="preserve">До пріоритетних галузей (секторів) для публічного інвестування у 2027-2029 роках належать:</w:t>
      </w:r>
      <w:r>
        <w:rPr>
          <w:highlight w:val="white"/>
        </w:rPr>
      </w:r>
      <w:r>
        <w:rPr>
          <w:highlight w:val="white"/>
        </w:rPr>
      </w:r>
    </w:p>
    <w:p>
      <w:pPr>
        <w:pStyle w:val="973"/>
        <w:pBdr/>
        <w:spacing/>
        <w:ind w:right="0" w:firstLine="0" w:left="852"/>
        <w:rPr>
          <w:highlight w:val="none"/>
        </w:rPr>
      </w:pPr>
      <w:r>
        <w:t xml:space="preserve">Культура</w:t>
      </w:r>
      <w:r>
        <w:rPr>
          <w:spacing w:val="-17"/>
        </w:rPr>
        <w:t xml:space="preserve"> </w:t>
      </w:r>
      <w:r>
        <w:t xml:space="preserve">та</w:t>
      </w:r>
      <w:r>
        <w:rPr>
          <w:spacing w:val="-17"/>
        </w:rPr>
        <w:t xml:space="preserve"> </w:t>
      </w:r>
      <w:r>
        <w:t xml:space="preserve">інформація </w:t>
      </w:r>
      <w:r>
        <w:rPr>
          <w:highlight w:val="none"/>
        </w:rPr>
      </w:r>
      <w:r>
        <w:rPr>
          <w:highlight w:val="none"/>
        </w:rPr>
      </w:r>
    </w:p>
    <w:p>
      <w:pPr>
        <w:pStyle w:val="973"/>
        <w:pBdr/>
        <w:spacing w:before="61"/>
        <w:ind w:left="852"/>
        <w:jc w:val="left"/>
        <w:rPr/>
      </w:pPr>
      <w:r>
        <w:t xml:space="preserve">Громадська</w:t>
      </w:r>
      <w:r>
        <w:rPr>
          <w:spacing w:val="-1"/>
        </w:rPr>
        <w:t xml:space="preserve"> </w:t>
      </w:r>
      <w:r>
        <w:rPr>
          <w:spacing w:val="-2"/>
        </w:rPr>
        <w:t xml:space="preserve">безпека</w:t>
      </w:r>
      <w:r/>
    </w:p>
    <w:p>
      <w:pPr>
        <w:pStyle w:val="973"/>
        <w:pBdr/>
        <w:spacing/>
        <w:ind w:right="3678" w:left="852"/>
        <w:jc w:val="left"/>
        <w:rPr/>
      </w:pPr>
      <w:r>
        <w:t xml:space="preserve">Спорт,</w:t>
      </w:r>
      <w:r>
        <w:rPr>
          <w:spacing w:val="-9"/>
        </w:rPr>
        <w:t xml:space="preserve"> </w:t>
      </w:r>
      <w:r>
        <w:t xml:space="preserve">фізичне</w:t>
      </w:r>
      <w:r>
        <w:rPr>
          <w:spacing w:val="-9"/>
        </w:rPr>
        <w:t xml:space="preserve"> </w:t>
      </w:r>
      <w:r>
        <w:t xml:space="preserve">та</w:t>
      </w:r>
      <w:r>
        <w:rPr>
          <w:spacing w:val="-9"/>
        </w:rPr>
        <w:t xml:space="preserve"> </w:t>
      </w:r>
      <w:r>
        <w:t xml:space="preserve">молодіжне</w:t>
      </w:r>
      <w:r>
        <w:rPr>
          <w:spacing w:val="-9"/>
        </w:rPr>
        <w:t xml:space="preserve"> </w:t>
      </w:r>
      <w:r>
        <w:t xml:space="preserve">виховання </w:t>
      </w:r>
      <w:r>
        <w:rPr>
          <w:spacing w:val="-2"/>
        </w:rPr>
        <w:t xml:space="preserve">Житло</w:t>
      </w:r>
      <w:r/>
    </w:p>
    <w:p>
      <w:pPr>
        <w:pStyle w:val="973"/>
        <w:pBdr/>
        <w:spacing/>
        <w:ind w:right="3678" w:left="852"/>
        <w:jc w:val="left"/>
        <w:rPr>
          <w:highlight w:val="none"/>
        </w:rPr>
      </w:pPr>
      <w:r>
        <w:t xml:space="preserve">Муніципальна</w:t>
      </w:r>
      <w:r>
        <w:rPr>
          <w:spacing w:val="-12"/>
        </w:rPr>
        <w:t xml:space="preserve"> </w:t>
      </w:r>
      <w:r>
        <w:t xml:space="preserve">інфраструктура</w:t>
      </w:r>
      <w:r>
        <w:rPr>
          <w:spacing w:val="-12"/>
        </w:rPr>
        <w:t xml:space="preserve"> </w:t>
      </w:r>
      <w:r>
        <w:t xml:space="preserve">та</w:t>
      </w:r>
      <w:r>
        <w:rPr>
          <w:spacing w:val="-12"/>
        </w:rPr>
        <w:t xml:space="preserve"> </w:t>
      </w:r>
      <w:r>
        <w:t xml:space="preserve">послуги Транспорт та послуги поштового зв'язку </w:t>
      </w:r>
      <w:r>
        <w:rPr>
          <w:highlight w:val="none"/>
        </w:rPr>
      </w:r>
      <w:r>
        <w:rPr>
          <w:highlight w:val="none"/>
        </w:rPr>
      </w:r>
    </w:p>
    <w:p>
      <w:pPr>
        <w:pStyle w:val="973"/>
        <w:pBdr/>
        <w:spacing/>
        <w:ind w:right="5463" w:left="852"/>
        <w:jc w:val="left"/>
        <w:rPr/>
      </w:pPr>
      <w:r>
        <w:rPr>
          <w:spacing w:val="-2"/>
        </w:rPr>
        <w:t xml:space="preserve">Довкілля</w:t>
      </w:r>
      <w:r/>
    </w:p>
    <w:p>
      <w:pPr>
        <w:pStyle w:val="973"/>
        <w:pBdr/>
        <w:spacing/>
        <w:ind w:right="5463" w:left="852"/>
        <w:jc w:val="left"/>
        <w:rPr/>
      </w:pPr>
      <w:r>
        <w:rPr>
          <w:spacing w:val="-2"/>
        </w:rPr>
        <w:t xml:space="preserve">Енергетика</w:t>
      </w:r>
      <w:r/>
    </w:p>
    <w:p>
      <w:pPr>
        <w:pStyle w:val="973"/>
        <w:pBdr/>
        <w:spacing/>
        <w:ind w:right="2432" w:left="852"/>
        <w:jc w:val="left"/>
        <w:rPr/>
      </w:pPr>
      <w:r>
        <w:t xml:space="preserve">Цифрова</w:t>
      </w:r>
      <w:r>
        <w:rPr>
          <w:spacing w:val="-9"/>
        </w:rPr>
        <w:t xml:space="preserve"> </w:t>
      </w:r>
      <w:r>
        <w:t xml:space="preserve">трансформація</w:t>
      </w:r>
      <w:r>
        <w:rPr>
          <w:spacing w:val="-9"/>
        </w:rPr>
        <w:t xml:space="preserve"> </w:t>
      </w:r>
      <w:r>
        <w:t xml:space="preserve">держави</w:t>
      </w:r>
      <w:r>
        <w:rPr>
          <w:spacing w:val="-9"/>
        </w:rPr>
        <w:t xml:space="preserve"> </w:t>
      </w:r>
      <w:r>
        <w:t xml:space="preserve">та</w:t>
      </w:r>
      <w:r>
        <w:rPr>
          <w:spacing w:val="-9"/>
        </w:rPr>
        <w:t xml:space="preserve"> </w:t>
      </w:r>
      <w:r>
        <w:t xml:space="preserve">суспільства </w:t>
      </w:r>
      <w:r/>
    </w:p>
    <w:p>
      <w:pPr>
        <w:pStyle w:val="973"/>
        <w:pBdr/>
        <w:spacing/>
        <w:ind w:right="6525" w:left="852"/>
        <w:jc w:val="left"/>
        <w:rPr/>
      </w:pPr>
      <w:r>
        <w:t xml:space="preserve">Освіта і наука Охорона</w:t>
      </w:r>
      <w:r>
        <w:rPr>
          <w:spacing w:val="-18"/>
        </w:rPr>
        <w:t xml:space="preserve"> </w:t>
      </w:r>
      <w:r>
        <w:t xml:space="preserve">здоров'я Соціальна </w:t>
      </w:r>
      <w:r>
        <w:rPr>
          <w:spacing w:val="-2"/>
        </w:rPr>
        <w:t xml:space="preserve">сфера.</w:t>
      </w:r>
      <w:r/>
    </w:p>
    <w:p w14:paraId="74D0A0C6">
      <w:pPr>
        <w:pStyle w:val="973"/>
        <w:pBdr/>
        <w:spacing/>
        <w:ind w:left="0"/>
        <w:jc w:val="left"/>
        <w:rPr/>
      </w:pPr>
      <w:r/>
      <w:r/>
    </w:p>
    <w:p>
      <w:pPr>
        <w:pStyle w:val="973"/>
        <w:pBdr/>
        <w:spacing/>
        <w:ind w:left="0"/>
        <w:jc w:val="center"/>
        <w:rPr>
          <w:bCs/>
          <w:i/>
          <w:highlight w:val="none"/>
        </w:rPr>
      </w:pPr>
      <w:r>
        <w:rPr>
          <w:i/>
          <w:iCs/>
        </w:rPr>
      </w:r>
      <w:r>
        <w:rPr>
          <w:i/>
          <w:iCs/>
        </w:rPr>
        <w:t xml:space="preserve">Підсектори галузей (секторів) для публічного інвестування </w:t>
      </w:r>
      <w:r>
        <w:rPr>
          <w:bCs/>
          <w:i/>
          <w:highlight w:val="none"/>
        </w:rPr>
      </w:r>
      <w:r>
        <w:rPr>
          <w:bCs/>
          <w:i/>
          <w:highlight w:val="none"/>
        </w:rPr>
      </w:r>
    </w:p>
    <w:p w14:paraId="02AECE85">
      <w:pPr>
        <w:pStyle w:val="973"/>
        <w:pBdr/>
        <w:spacing/>
        <w:ind w:left="0"/>
        <w:jc w:val="left"/>
        <w:rPr/>
      </w:pPr>
      <w:r>
        <w:rPr>
          <w:highlight w:val="none"/>
        </w:rPr>
      </w:r>
      <w:r>
        <w:rPr>
          <w:highlight w:val="none"/>
        </w:rPr>
      </w:r>
      <w:r/>
    </w:p>
    <w:p>
      <w:pPr>
        <w:pStyle w:val="973"/>
        <w:pBdr/>
        <w:spacing/>
        <w:ind w:right="195" w:firstLine="720"/>
        <w:rPr/>
      </w:pPr>
      <w:r>
        <w:t xml:space="preserve">Підсектори галузей (секторів) для публічного інвестування формуються у межах кожної пріоритетної галузі (сектора) для публічного інвестування</w:t>
      </w:r>
      <w:r>
        <w:rPr>
          <w:spacing w:val="40"/>
        </w:rPr>
        <w:t xml:space="preserve"> </w:t>
      </w:r>
      <w:r>
        <w:t xml:space="preserve">та </w:t>
      </w:r>
      <w:r>
        <w:t xml:space="preserve">є структурними складовим</w:t>
      </w:r>
      <w:r>
        <w:t xml:space="preserve">и місцевої політики в межах від</w:t>
      </w:r>
      <w:r>
        <w:t xml:space="preserve">повідної галузі, що випливають із компетенції  структурних підрозділів міської ради та комунальних підприємств, оргагізацій, установ та  мають власне нормативно-правове регулювання і кореспондуються з конкретними цілями документів стратегічного планування.</w:t>
      </w:r>
      <w:r/>
    </w:p>
    <w:p>
      <w:pPr>
        <w:pStyle w:val="973"/>
        <w:pBdr/>
        <w:spacing/>
        <w:ind w:right="196" w:firstLine="566"/>
        <w:rPr/>
      </w:pPr>
      <w:r>
        <w:t xml:space="preserve">Підсектори</w:t>
      </w:r>
      <w:r>
        <w:rPr>
          <w:spacing w:val="40"/>
        </w:rPr>
        <w:t xml:space="preserve"> </w:t>
      </w:r>
      <w:r>
        <w:t xml:space="preserve">галузей (секторів) для публічного інвестування дозволяють диференціювати галузь (сектор) для публічного інвестування на відповідні складові, в яких будуть здійснюватися публічні</w:t>
      </w:r>
      <w:r>
        <w:rPr>
          <w:spacing w:val="40"/>
        </w:rPr>
        <w:t xml:space="preserve"> </w:t>
      </w:r>
      <w:r>
        <w:t xml:space="preserve">інвестиції, та допомагають зосередитись на специфічних потребах і можливостях, що існують у конкретних </w:t>
      </w:r>
      <w:r>
        <w:rPr>
          <w:spacing w:val="-2"/>
        </w:rPr>
        <w:t xml:space="preserve">сферах.</w:t>
      </w:r>
      <w:r/>
    </w:p>
    <w:p>
      <w:pPr>
        <w:pStyle w:val="973"/>
        <w:pBdr/>
        <w:spacing w:line="259" w:lineRule="auto"/>
        <w:ind w:right="388" w:firstLine="720"/>
        <w:rPr>
          <w:highlight w:val="white"/>
        </w:rPr>
      </w:pPr>
      <w:r>
        <w:rPr>
          <w:highlight w:val="white"/>
        </w:rPr>
        <w:t xml:space="preserve">До</w:t>
      </w:r>
      <w:r>
        <w:rPr>
          <w:spacing w:val="-4"/>
          <w:highlight w:val="white"/>
        </w:rPr>
        <w:t xml:space="preserve"> </w:t>
      </w:r>
      <w:r>
        <w:rPr>
          <w:highlight w:val="white"/>
        </w:rPr>
        <w:t xml:space="preserve">СПІ</w:t>
      </w:r>
      <w:r>
        <w:rPr>
          <w:spacing w:val="-4"/>
          <w:highlight w:val="white"/>
        </w:rPr>
        <w:t xml:space="preserve"> </w:t>
      </w:r>
      <w:r>
        <w:rPr>
          <w:highlight w:val="white"/>
        </w:rPr>
        <w:t xml:space="preserve">2027-2029</w:t>
      </w:r>
      <w:r>
        <w:rPr>
          <w:spacing w:val="-4"/>
          <w:highlight w:val="white"/>
        </w:rPr>
        <w:t xml:space="preserve"> </w:t>
      </w:r>
      <w:r>
        <w:rPr>
          <w:highlight w:val="white"/>
        </w:rPr>
        <w:t xml:space="preserve">включено</w:t>
      </w:r>
      <w:r>
        <w:rPr>
          <w:spacing w:val="-4"/>
          <w:highlight w:val="white"/>
        </w:rPr>
        <w:t xml:space="preserve"> </w:t>
      </w:r>
      <w:r>
        <w:rPr>
          <w:spacing w:val="-4"/>
          <w:highlight w:val="white"/>
          <w:lang w:val="uk-UA"/>
        </w:rPr>
        <w:t xml:space="preserve">33</w:t>
      </w:r>
      <w:r>
        <w:rPr>
          <w:spacing w:val="-4"/>
          <w:highlight w:val="white"/>
          <w:lang w:val="en-US"/>
        </w:rPr>
        <w:t xml:space="preserve"> </w:t>
      </w:r>
      <w:r>
        <w:rPr>
          <w:highlight w:val="white"/>
        </w:rPr>
        <w:t xml:space="preserve">підсектор</w:t>
      </w:r>
      <w:r>
        <w:rPr>
          <w:spacing w:val="-4"/>
          <w:highlight w:val="white"/>
        </w:rPr>
        <w:t xml:space="preserve">и </w:t>
      </w:r>
      <w:r>
        <w:rPr>
          <w:highlight w:val="white"/>
        </w:rPr>
        <w:t xml:space="preserve">в</w:t>
      </w:r>
      <w:r>
        <w:rPr>
          <w:spacing w:val="-4"/>
          <w:highlight w:val="white"/>
        </w:rPr>
        <w:t xml:space="preserve"> </w:t>
      </w:r>
      <w:r>
        <w:rPr>
          <w:highlight w:val="white"/>
        </w:rPr>
        <w:t xml:space="preserve">межах</w:t>
      </w:r>
      <w:r>
        <w:rPr>
          <w:spacing w:val="-4"/>
          <w:highlight w:val="white"/>
        </w:rPr>
        <w:t xml:space="preserve"> </w:t>
      </w:r>
      <w:r>
        <w:rPr>
          <w:highlight w:val="white"/>
        </w:rPr>
        <w:t xml:space="preserve">1</w:t>
      </w:r>
      <w:r>
        <w:rPr>
          <w:highlight w:val="white"/>
          <w:lang w:val="en-US"/>
        </w:rPr>
        <w:t xml:space="preserve">2</w:t>
      </w:r>
      <w:r>
        <w:rPr>
          <w:spacing w:val="-4"/>
          <w:highlight w:val="white"/>
        </w:rPr>
        <w:t xml:space="preserve"> </w:t>
      </w:r>
      <w:r>
        <w:rPr>
          <w:highlight w:val="white"/>
        </w:rPr>
        <w:t xml:space="preserve">галузей</w:t>
      </w:r>
      <w:r>
        <w:rPr>
          <w:spacing w:val="40"/>
          <w:highlight w:val="white"/>
        </w:rPr>
        <w:t xml:space="preserve"> </w:t>
      </w:r>
      <w:r>
        <w:rPr>
          <w:highlight w:val="white"/>
        </w:rPr>
        <w:t xml:space="preserve">(секторів) для публічного інвестування.</w:t>
      </w:r>
      <w:r>
        <w:rPr>
          <w:highlight w:val="white"/>
        </w:rPr>
      </w:r>
      <w:r>
        <w:rPr>
          <w:highlight w:val="white"/>
        </w:rPr>
      </w:r>
    </w:p>
    <w:p w14:paraId="19490D30">
      <w:pPr>
        <w:pStyle w:val="973"/>
        <w:pBdr/>
        <w:spacing/>
        <w:ind w:left="0"/>
        <w:jc w:val="left"/>
        <w:rPr>
          <w:bCs/>
          <w:i/>
          <w:highlight w:val="none"/>
        </w:rPr>
      </w:pPr>
      <w:r>
        <w:rPr>
          <w:highlight w:val="none"/>
        </w:rPr>
      </w:r>
      <w:r>
        <w:rPr>
          <w:bCs/>
          <w:i/>
          <w:highlight w:val="none"/>
        </w:rPr>
      </w:r>
      <w:r>
        <w:rPr>
          <w:bCs/>
          <w:i/>
          <w:highlight w:val="none"/>
        </w:rPr>
      </w:r>
    </w:p>
    <w:p>
      <w:pPr>
        <w:pStyle w:val="973"/>
        <w:pBdr/>
        <w:spacing/>
        <w:ind w:left="0"/>
        <w:jc w:val="center"/>
        <w:rPr>
          <w:bCs/>
          <w:i/>
          <w:highlight w:val="none"/>
        </w:rPr>
      </w:pPr>
      <w:r>
        <w:rPr>
          <w:i/>
          <w:iCs/>
        </w:rPr>
        <w:t xml:space="preserve">Основні напрями публічного інвестування</w:t>
      </w:r>
      <w:r>
        <w:rPr>
          <w:bCs/>
          <w:i/>
          <w:highlight w:val="none"/>
        </w:rPr>
      </w:r>
      <w:r>
        <w:rPr>
          <w:bCs/>
          <w:i/>
          <w:highlight w:val="none"/>
        </w:rPr>
      </w:r>
    </w:p>
    <w:p w14:paraId="2CFF4907">
      <w:pPr>
        <w:pStyle w:val="973"/>
        <w:pBdr/>
        <w:spacing/>
        <w:ind w:left="0"/>
        <w:jc w:val="left"/>
        <w:rPr>
          <w:bCs/>
          <w:i/>
        </w:rPr>
      </w:pPr>
      <w:r>
        <w:rPr>
          <w:i/>
          <w:highlight w:val="none"/>
        </w:rPr>
      </w:r>
      <w:r>
        <w:rPr>
          <w:bCs/>
          <w:i/>
        </w:rPr>
      </w:r>
      <w:r>
        <w:rPr>
          <w:bCs/>
          <w:i/>
        </w:rPr>
      </w:r>
    </w:p>
    <w:p>
      <w:pPr>
        <w:pStyle w:val="973"/>
        <w:pBdr/>
        <w:spacing/>
        <w:ind w:right="287" w:firstLine="709"/>
        <w:rPr/>
      </w:pPr>
      <w:r>
        <w:t xml:space="preserve">Основні напрями публічного інвестування узгоджуються із завданнями документів стратегічного планування, у розрізі галузей (секторів) для публічного інвестування.</w:t>
      </w:r>
      <w:r/>
    </w:p>
    <w:p>
      <w:pPr>
        <w:pStyle w:val="973"/>
        <w:pBdr/>
        <w:spacing/>
        <w:ind w:right="286" w:firstLine="570"/>
        <w:rPr/>
      </w:pPr>
      <w:r>
        <w:t xml:space="preserve">Напр</w:t>
      </w:r>
      <w:r>
        <w:t xml:space="preserve">ям публічного інвестування визначає сферу діяльності громади у межах відповідної галузі (сектору) для публічного інвестування, у яку спрямовуються публічні кошти для подальшої підготовки та реалізації проектів та/або програм з метою досягнення відповідного</w:t>
      </w:r>
      <w:r>
        <w:rPr>
          <w:spacing w:val="40"/>
        </w:rPr>
        <w:t xml:space="preserve"> </w:t>
      </w:r>
      <w:r>
        <w:t xml:space="preserve">завдання документа стратегічного планування. </w:t>
      </w:r>
      <w:r/>
    </w:p>
    <w:p w14:paraId="0187BD24">
      <w:pPr>
        <w:pStyle w:val="973"/>
        <w:pBdr/>
        <w:spacing/>
        <w:ind w:right="286" w:firstLine="570"/>
        <w:rPr>
          <w:highlight w:val="white"/>
        </w:rPr>
      </w:pPr>
      <w:r>
        <w:t xml:space="preserve">Структурними підрозділами міської ради</w:t>
      </w:r>
      <w:r>
        <w:t xml:space="preserve">, відповідальними за галузі (сектори) для публічного інвестування, було подано пропозиції до середньострокового плану, що містили </w:t>
      </w:r>
      <w:r>
        <w:rPr>
          <w:highlight w:val="none"/>
        </w:rPr>
        <w:t xml:space="preserve"> </w:t>
      </w:r>
      <w:r>
        <w:rPr>
          <w:highlight w:val="white"/>
        </w:rPr>
        <w:t xml:space="preserve">4</w:t>
      </w:r>
      <w:r>
        <w:rPr>
          <w:highlight w:val="white"/>
          <w:lang w:val="uk-UA"/>
        </w:rPr>
        <w:t xml:space="preserve">2</w:t>
      </w:r>
      <w:r>
        <w:rPr>
          <w:highlight w:val="white"/>
          <w:lang w:val="en-US"/>
        </w:rPr>
        <w:t xml:space="preserve"> </w:t>
      </w:r>
      <w:r>
        <w:rPr>
          <w:highlight w:val="white"/>
        </w:rPr>
        <w:t xml:space="preserve">напрям</w:t>
      </w:r>
      <w:r>
        <w:rPr>
          <w:highlight w:val="white"/>
        </w:rPr>
        <w:t xml:space="preserve">и для публічного інвестування,  які включено до СПІ 2027-2029.</w:t>
      </w:r>
      <w:r>
        <w:rPr>
          <w:highlight w:val="white"/>
        </w:rPr>
      </w:r>
      <w:r>
        <w:rPr>
          <w:highlight w:val="white"/>
        </w:rPr>
      </w:r>
    </w:p>
    <w:p w14:paraId="4BF20D47">
      <w:pPr>
        <w:pBdr/>
        <w:spacing w:before="0"/>
        <w:ind w:right="2" w:firstLine="0" w:left="564"/>
        <w:jc w:val="center"/>
        <w:rPr>
          <w:bCs/>
          <w:i/>
          <w:sz w:val="28"/>
          <w:szCs w:val="28"/>
        </w:rPr>
      </w:pPr>
      <w:r>
        <w:rPr>
          <w:i/>
          <w:iCs/>
          <w:sz w:val="28"/>
          <w:szCs w:val="28"/>
          <w:highlight w:val="none"/>
        </w:rPr>
      </w:r>
      <w:r>
        <w:rPr>
          <w:bCs/>
          <w:i/>
          <w:sz w:val="28"/>
          <w:szCs w:val="28"/>
        </w:rPr>
      </w:r>
      <w:r>
        <w:rPr>
          <w:bCs/>
          <w:i/>
          <w:sz w:val="28"/>
          <w:szCs w:val="28"/>
        </w:rPr>
      </w:r>
    </w:p>
    <w:p>
      <w:pPr>
        <w:pBdr/>
        <w:spacing w:before="0"/>
        <w:ind w:right="2" w:firstLine="0" w:left="564"/>
        <w:jc w:val="center"/>
        <w:rPr>
          <w:bCs/>
          <w:i/>
          <w:sz w:val="28"/>
          <w:szCs w:val="28"/>
          <w:highlight w:val="none"/>
        </w:rPr>
      </w:pPr>
      <w:r>
        <w:rPr>
          <w:i/>
          <w:iCs/>
          <w:sz w:val="28"/>
          <w:szCs w:val="28"/>
        </w:rPr>
      </w:r>
      <w:r>
        <w:rPr>
          <w:i/>
          <w:iCs/>
          <w:sz w:val="28"/>
          <w:szCs w:val="28"/>
        </w:rPr>
        <w:t xml:space="preserve">Фінансова структура публічних інвестицій</w:t>
      </w:r>
      <w:r>
        <w:rPr>
          <w:bCs/>
          <w:i/>
          <w:sz w:val="28"/>
          <w:szCs w:val="28"/>
          <w:highlight w:val="none"/>
        </w:rPr>
      </w:r>
      <w:r>
        <w:rPr>
          <w:bCs/>
          <w:i/>
          <w:sz w:val="28"/>
          <w:szCs w:val="28"/>
          <w:highlight w:val="none"/>
        </w:rPr>
      </w:r>
    </w:p>
    <w:p w14:paraId="3B7F53E7">
      <w:pPr>
        <w:pBdr/>
        <w:spacing w:before="0"/>
        <w:ind w:right="2" w:firstLine="0" w:left="564"/>
        <w:jc w:val="center"/>
        <w:rPr>
          <w:bCs/>
          <w:i/>
          <w:sz w:val="28"/>
          <w:szCs w:val="28"/>
        </w:rPr>
      </w:pPr>
      <w:r>
        <w:rPr>
          <w:i/>
          <w:spacing w:val="-2"/>
          <w:sz w:val="28"/>
          <w:highlight w:val="none"/>
        </w:rPr>
      </w:r>
      <w:r>
        <w:rPr>
          <w:bCs/>
          <w:i/>
          <w:sz w:val="28"/>
          <w:szCs w:val="28"/>
        </w:rPr>
      </w:r>
      <w:r>
        <w:rPr>
          <w:bCs/>
          <w:i/>
          <w:sz w:val="28"/>
          <w:szCs w:val="28"/>
        </w:rPr>
      </w:r>
    </w:p>
    <w:p>
      <w:pPr>
        <w:pStyle w:val="973"/>
        <w:pBdr/>
        <w:spacing/>
        <w:ind w:right="287" w:firstLine="709"/>
        <w:rPr>
          <w:highlight w:val="white"/>
        </w:rPr>
      </w:pPr>
      <w:r>
        <w:rPr>
          <w:highlight w:val="white"/>
        </w:rPr>
        <w:t xml:space="preserve">Орієнтовний граничний сукупний обсяг публічних інвестицій на 2027 – 2029 роки в розрізі джерел фінансового забезпечення та за роками становить:</w:t>
      </w:r>
      <w:r>
        <w:rPr>
          <w:highlight w:val="white"/>
        </w:rPr>
      </w:r>
      <w:r>
        <w:rPr>
          <w:highlight w:val="white"/>
        </w:rPr>
      </w:r>
    </w:p>
    <w:p w14:paraId="62FAB2FF">
      <w:pPr>
        <w:pStyle w:val="973"/>
        <w:pBdr/>
        <w:spacing/>
        <w:ind w:left="0"/>
        <w:jc w:val="left"/>
        <w:rPr/>
      </w:pPr>
      <w:r/>
      <w:r/>
    </w:p>
    <w:p>
      <w:pPr>
        <w:pStyle w:val="973"/>
        <w:pBdr/>
        <w:spacing/>
        <w:ind w:left="0"/>
        <w:jc w:val="left"/>
        <w:rPr/>
      </w:pPr>
      <w:r/>
      <w:r/>
    </w:p>
    <w:p>
      <w:pPr>
        <w:pStyle w:val="973"/>
        <w:pBdr/>
        <w:spacing/>
        <w:ind w:right="281" w:left="0"/>
        <w:jc w:val="right"/>
        <w:rPr>
          <w:spacing w:val="-4"/>
          <w:sz w:val="24"/>
          <w:szCs w:val="24"/>
          <w:highlight w:val="none"/>
        </w:rPr>
      </w:pPr>
      <w:r>
        <w:rPr>
          <w:sz w:val="24"/>
          <w:szCs w:val="24"/>
        </w:rPr>
        <w:t xml:space="preserve">тис. </w:t>
      </w:r>
      <w:r>
        <w:rPr>
          <w:spacing w:val="-4"/>
          <w:sz w:val="24"/>
          <w:szCs w:val="24"/>
        </w:rPr>
        <w:t xml:space="preserve">грн.</w:t>
      </w:r>
      <w:r>
        <w:rPr>
          <w:spacing w:val="-4"/>
          <w:sz w:val="24"/>
          <w:szCs w:val="24"/>
          <w:highlight w:val="none"/>
        </w:rPr>
      </w:r>
      <w:r>
        <w:rPr>
          <w:spacing w:val="-4"/>
          <w:sz w:val="24"/>
          <w:szCs w:val="24"/>
          <w:highlight w:val="none"/>
        </w:rPr>
      </w:r>
    </w:p>
    <w:p w14:paraId="4FAE3DED">
      <w:pPr>
        <w:pStyle w:val="973"/>
        <w:pBdr/>
        <w:spacing/>
        <w:ind w:right="281" w:left="0"/>
        <w:jc w:val="right"/>
        <w:rPr>
          <w:spacing w:val="-4"/>
          <w:highlight w:val="none"/>
        </w:rPr>
      </w:pPr>
      <w:r>
        <w:rPr>
          <w:spacing w:val="-4"/>
          <w:highlight w:val="none"/>
        </w:rPr>
      </w:r>
      <w:r>
        <w:rPr>
          <w:spacing w:val="-4"/>
          <w:highlight w:val="none"/>
        </w:rPr>
      </w:r>
      <w:r>
        <w:rPr>
          <w:spacing w:val="-4"/>
          <w:highlight w:val="none"/>
        </w:rPr>
      </w:r>
    </w:p>
    <w:tbl>
      <w:tblPr>
        <w:tblInd w:w="-840" w:type="dxa"/>
        <w:tblW w:w="12093" w:type="dxa"/>
        <w:tblCellMar>
          <w:left w:w="10" w:type="dxa"/>
          <w:right w:w="10" w:type="dxa"/>
        </w:tblCellMar>
        <w:tblBorders/>
        <w:tblLayout w:type="fixed"/>
        <w:tblLook w:val="0000" w:firstRow="0" w:lastRow="0" w:firstColumn="0" w:lastColumn="0" w:noHBand="0" w:noVBand="0"/>
      </w:tblPr>
      <w:tblGrid>
        <w:gridCol w:w="2007"/>
        <w:gridCol w:w="4837"/>
        <w:gridCol w:w="1276"/>
        <w:gridCol w:w="1276"/>
        <w:gridCol w:w="1276"/>
        <w:gridCol w:w="1422"/>
      </w:tblGrid>
      <w:tr>
        <w:trPr>
          <w:trHeight w:val="280" w:hRule="exact"/>
        </w:trPr>
        <w:tc>
          <w:tcPr>
            <w:tcBorders/>
            <w:tcW w:w="2007" w:type="dxa"/>
            <w:textDirection w:val="lrTb"/>
            <w:noWrap w:val="false"/>
          </w:tcPr>
          <w:p w14:paraId="5F8F49E8">
            <w:pPr>
              <w:pStyle w:val="976"/>
              <w:pBdr/>
              <w:spacing/>
              <w:ind/>
              <w:rPr/>
            </w:pPr>
            <w:r/>
            <w:r/>
          </w:p>
        </w:tc>
        <w:tc>
          <w:tcPr>
            <w:gridSpan w:val="4"/>
            <w:tcBorders/>
            <w:tcW w:w="8665" w:type="dxa"/>
            <w:textDirection w:val="lrTb"/>
            <w:noWrap w:val="false"/>
          </w:tcPr>
          <w:p w14:paraId="69E45105">
            <w:pPr>
              <w:pStyle w:val="976"/>
              <w:pBdr/>
              <w:spacing/>
              <w:ind/>
              <w:rPr/>
            </w:pPr>
            <w:r/>
            <w:r/>
          </w:p>
        </w:tc>
        <w:tc>
          <w:tcPr>
            <w:tcBorders/>
            <w:tcMar>
              <w:left w:w="0" w:type="dxa"/>
              <w:top w:w="0" w:type="dxa"/>
              <w:right w:w="0" w:type="dxa"/>
              <w:bottom w:w="0" w:type="dxa"/>
            </w:tcMar>
            <w:tcW w:w="1422" w:type="dxa"/>
            <w:vAlign w:val="bottom"/>
            <w:textDirection w:val="lrTb"/>
            <w:noWrap w:val="false"/>
          </w:tcPr>
          <w:p w14:paraId="4AFC9191">
            <w:pPr>
              <w:pBdr/>
              <w:spacing/>
              <w:ind/>
              <w:jc w:val="right"/>
              <w:rPr/>
            </w:pPr>
            <w:r/>
            <w:r/>
          </w:p>
        </w:tc>
      </w:tr>
      <w:tr>
        <w:trPr>
          <w:gridAfter w:val="1"/>
          <w:trHeight w:val="911" w:hRule="exact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6844" w:type="dxa"/>
            <w:vAlign w:val="center"/>
            <w:textDirection w:val="lrTb"/>
            <w:noWrap w:val="false"/>
          </w:tcPr>
          <w:p w14:paraId="5F890002">
            <w:pPr>
              <w:pBdr/>
              <w:spacing/>
              <w:ind w:lef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Орієнтовні граничні показники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 w14:paraId="2559A299"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2027 рік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 w14:paraId="4F579AAE"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(план)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 w14:paraId="058A828A"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2028 рік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 w14:paraId="026513B0"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(план)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276" w:type="dxa"/>
            <w:vAlign w:val="center"/>
            <w:textDirection w:val="lrTb"/>
            <w:noWrap w:val="false"/>
          </w:tcPr>
          <w:p w14:paraId="0E949434">
            <w:pPr>
              <w:pBdr/>
              <w:spacing/>
              <w:ind w:right="0" w:firstLine="0"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2029 рік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 w14:paraId="4897350B">
            <w:pPr>
              <w:pBdr/>
              <w:spacing/>
              <w:ind w:right="0" w:firstLine="0"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(план)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gridAfter w:val="1"/>
          <w:trHeight w:val="593" w:hRule="exact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0" w:type="dxa"/>
              <w:top w:w="20" w:type="dxa"/>
              <w:right w:w="20" w:type="dxa"/>
              <w:bottom w:w="20" w:type="dxa"/>
            </w:tcMar>
            <w:tcW w:w="6844" w:type="dxa"/>
            <w:textDirection w:val="lrTb"/>
            <w:noWrap w:val="false"/>
          </w:tcPr>
          <w:p w14:paraId="6773EEBE">
            <w:pPr>
              <w:pBdr/>
              <w:spacing/>
              <w:ind w:lef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Орієнтовний граничний сукупний обсяг публічних інвестицій, у тому числі за рахунок: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0" w:type="dxa"/>
              <w:top w:w="20" w:type="dxa"/>
              <w:right w:w="20" w:type="dxa"/>
              <w:bottom w:w="20" w:type="dxa"/>
            </w:tcMar>
            <w:tcW w:w="1276" w:type="dxa"/>
            <w:vAlign w:val="center"/>
            <w:textDirection w:val="lrTb"/>
            <w:noWrap w:val="false"/>
          </w:tcPr>
          <w:p w14:paraId="60285C94">
            <w:pPr>
              <w:pBdr/>
              <w:spacing/>
              <w:ind w:right="6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1 000 000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0" w:type="dxa"/>
              <w:top w:w="20" w:type="dxa"/>
              <w:right w:w="20" w:type="dxa"/>
              <w:bottom w:w="20" w:type="dxa"/>
            </w:tcMar>
            <w:tcW w:w="1276" w:type="dxa"/>
            <w:vAlign w:val="center"/>
            <w:textDirection w:val="lrTb"/>
            <w:noWrap w:val="false"/>
          </w:tcPr>
          <w:p w14:paraId="749EDB93">
            <w:pPr>
              <w:pBdr/>
              <w:spacing/>
              <w:ind w:right="6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1 000 000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0" w:type="dxa"/>
              <w:top w:w="20" w:type="dxa"/>
              <w:right w:w="20" w:type="dxa"/>
              <w:bottom w:w="20" w:type="dxa"/>
            </w:tcMar>
            <w:tcW w:w="1276" w:type="dxa"/>
            <w:vAlign w:val="center"/>
            <w:textDirection w:val="lrTb"/>
            <w:noWrap w:val="false"/>
          </w:tcPr>
          <w:p w14:paraId="60285C94">
            <w:pPr>
              <w:pBdr/>
              <w:spacing/>
              <w:ind w:right="102" w:firstLine="0" w:left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1 000 000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gridAfter w:val="1"/>
          <w:trHeight w:val="260" w:hRule="exact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0" w:type="dxa"/>
              <w:top w:w="20" w:type="dxa"/>
              <w:right w:w="20" w:type="dxa"/>
              <w:bottom w:w="20" w:type="dxa"/>
            </w:tcMar>
            <w:tcW w:w="6844" w:type="dxa"/>
            <w:textDirection w:val="lrTb"/>
            <w:noWrap w:val="false"/>
          </w:tcPr>
          <w:p w14:paraId="789E00B7">
            <w:pPr>
              <w:pBdr/>
              <w:spacing/>
              <w:ind w:lef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коштів місцевого бюджету, у тому числі: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0" w:type="dxa"/>
              <w:top w:w="20" w:type="dxa"/>
              <w:right w:w="20" w:type="dxa"/>
              <w:bottom w:w="20" w:type="dxa"/>
            </w:tcMar>
            <w:tcW w:w="1276" w:type="dxa"/>
            <w:vAlign w:val="center"/>
            <w:textDirection w:val="lrTb"/>
            <w:noWrap w:val="false"/>
          </w:tcPr>
          <w:p w14:paraId="3E489263">
            <w:pPr>
              <w:pBdr/>
              <w:spacing/>
              <w:ind w:right="6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1 000 000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0" w:type="dxa"/>
              <w:top w:w="20" w:type="dxa"/>
              <w:right w:w="20" w:type="dxa"/>
              <w:bottom w:w="20" w:type="dxa"/>
            </w:tcMar>
            <w:tcW w:w="1276" w:type="dxa"/>
            <w:vAlign w:val="center"/>
            <w:textDirection w:val="lrTb"/>
            <w:noWrap w:val="false"/>
          </w:tcPr>
          <w:p w14:paraId="6C6218DC">
            <w:pPr>
              <w:pBdr/>
              <w:spacing/>
              <w:ind w:right="6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1 000 000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0" w:type="dxa"/>
              <w:top w:w="20" w:type="dxa"/>
              <w:right w:w="20" w:type="dxa"/>
              <w:bottom w:w="20" w:type="dxa"/>
            </w:tcMar>
            <w:tcW w:w="1276" w:type="dxa"/>
            <w:vAlign w:val="center"/>
            <w:textDirection w:val="lrTb"/>
            <w:noWrap w:val="false"/>
          </w:tcPr>
          <w:p w14:paraId="3E489263">
            <w:pPr>
              <w:pBdr/>
              <w:spacing/>
              <w:ind w:right="6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1 000 000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gridAfter w:val="1"/>
          <w:trHeight w:val="626" w:hRule="exact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0" w:type="dxa"/>
              <w:top w:w="20" w:type="dxa"/>
              <w:right w:w="20" w:type="dxa"/>
              <w:bottom w:w="20" w:type="dxa"/>
            </w:tcMar>
            <w:tcW w:w="6844" w:type="dxa"/>
            <w:textDirection w:val="lrTb"/>
            <w:noWrap w:val="false"/>
          </w:tcPr>
          <w:p w14:paraId="6C554B20">
            <w:pPr>
              <w:pBdr/>
              <w:spacing/>
              <w:ind w:lef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співфінансування заходів щодо підготовки та реалізації публічних інвестиційних проектів та програм публічних інвестицій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0" w:type="dxa"/>
              <w:top w:w="20" w:type="dxa"/>
              <w:right w:w="20" w:type="dxa"/>
              <w:bottom w:w="20" w:type="dxa"/>
            </w:tcMar>
            <w:tcW w:w="1276" w:type="dxa"/>
            <w:vAlign w:val="center"/>
            <w:textDirection w:val="lrTb"/>
            <w:noWrap w:val="false"/>
          </w:tcPr>
          <w:p w14:paraId="5A1AB6D8">
            <w:pPr>
              <w:pBdr/>
              <w:spacing/>
              <w:ind w:right="6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1 000 000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0" w:type="dxa"/>
              <w:top w:w="20" w:type="dxa"/>
              <w:right w:w="20" w:type="dxa"/>
              <w:bottom w:w="20" w:type="dxa"/>
            </w:tcMar>
            <w:tcW w:w="1276" w:type="dxa"/>
            <w:vAlign w:val="center"/>
            <w:textDirection w:val="lrTb"/>
            <w:noWrap w:val="false"/>
          </w:tcPr>
          <w:p w14:paraId="307AC331">
            <w:pPr>
              <w:pBdr/>
              <w:spacing/>
              <w:ind w:right="6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1 000 000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0" w:type="dxa"/>
              <w:top w:w="20" w:type="dxa"/>
              <w:right w:w="20" w:type="dxa"/>
              <w:bottom w:w="20" w:type="dxa"/>
            </w:tcMar>
            <w:tcW w:w="1276" w:type="dxa"/>
            <w:vAlign w:val="center"/>
            <w:textDirection w:val="lrTb"/>
            <w:noWrap w:val="false"/>
          </w:tcPr>
          <w:p w14:paraId="5A1AB6D8">
            <w:pPr>
              <w:pBdr/>
              <w:spacing/>
              <w:ind w:right="6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1 000 000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gridAfter w:val="1"/>
          <w:trHeight w:val="260" w:hRule="exact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0" w:type="dxa"/>
              <w:top w:w="20" w:type="dxa"/>
              <w:right w:w="20" w:type="dxa"/>
              <w:bottom w:w="20" w:type="dxa"/>
            </w:tcMar>
            <w:tcW w:w="6844" w:type="dxa"/>
            <w:textDirection w:val="lrTb"/>
            <w:noWrap w:val="false"/>
          </w:tcPr>
          <w:p w14:paraId="02C1161F">
            <w:pPr>
              <w:pBdr/>
              <w:spacing/>
              <w:ind w:lef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міжбюджетних трансфертів з державного бюджету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0" w:type="dxa"/>
              <w:top w:w="20" w:type="dxa"/>
              <w:right w:w="20" w:type="dxa"/>
              <w:bottom w:w="20" w:type="dxa"/>
            </w:tcMar>
            <w:tcW w:w="1276" w:type="dxa"/>
            <w:vAlign w:val="center"/>
            <w:textDirection w:val="lrTb"/>
            <w:noWrap w:val="false"/>
          </w:tcPr>
          <w:p w14:paraId="055882A6">
            <w:pPr>
              <w:pBdr/>
              <w:spacing/>
              <w:ind w:right="6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0" w:type="dxa"/>
              <w:top w:w="20" w:type="dxa"/>
              <w:right w:w="20" w:type="dxa"/>
              <w:bottom w:w="20" w:type="dxa"/>
            </w:tcMar>
            <w:tcW w:w="1276" w:type="dxa"/>
            <w:vAlign w:val="center"/>
            <w:textDirection w:val="lrTb"/>
            <w:noWrap w:val="false"/>
          </w:tcPr>
          <w:p w14:paraId="62038FF2">
            <w:pPr>
              <w:pBdr/>
              <w:spacing/>
              <w:ind w:right="6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0" w:type="dxa"/>
              <w:top w:w="20" w:type="dxa"/>
              <w:right w:w="20" w:type="dxa"/>
              <w:bottom w:w="20" w:type="dxa"/>
            </w:tcMar>
            <w:tcW w:w="1276" w:type="dxa"/>
            <w:vAlign w:val="center"/>
            <w:textDirection w:val="lrTb"/>
            <w:noWrap w:val="false"/>
          </w:tcPr>
          <w:p w14:paraId="639059BB">
            <w:pPr>
              <w:pBdr/>
              <w:spacing/>
              <w:ind w:right="6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gridAfter w:val="1"/>
          <w:trHeight w:val="260" w:hRule="exact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0" w:type="dxa"/>
              <w:top w:w="20" w:type="dxa"/>
              <w:right w:w="20" w:type="dxa"/>
              <w:bottom w:w="20" w:type="dxa"/>
            </w:tcMar>
            <w:tcW w:w="6844" w:type="dxa"/>
            <w:textDirection w:val="lrTb"/>
            <w:noWrap w:val="false"/>
          </w:tcPr>
          <w:p w14:paraId="5788432F">
            <w:pPr>
              <w:pBdr/>
              <w:spacing/>
              <w:ind w:lef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міжбюджетних трансфертів з інших місцевих бюджетів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0" w:type="dxa"/>
              <w:top w:w="20" w:type="dxa"/>
              <w:right w:w="20" w:type="dxa"/>
              <w:bottom w:w="20" w:type="dxa"/>
            </w:tcMar>
            <w:tcW w:w="1276" w:type="dxa"/>
            <w:vAlign w:val="center"/>
            <w:textDirection w:val="lrTb"/>
            <w:noWrap w:val="false"/>
          </w:tcPr>
          <w:p w14:paraId="2676901E">
            <w:pPr>
              <w:pBdr/>
              <w:spacing/>
              <w:ind w:right="6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0" w:type="dxa"/>
              <w:top w:w="20" w:type="dxa"/>
              <w:right w:w="20" w:type="dxa"/>
              <w:bottom w:w="20" w:type="dxa"/>
            </w:tcMar>
            <w:tcW w:w="1276" w:type="dxa"/>
            <w:vAlign w:val="center"/>
            <w:textDirection w:val="lrTb"/>
            <w:noWrap w:val="false"/>
          </w:tcPr>
          <w:p w14:paraId="1158D7EE">
            <w:pPr>
              <w:pBdr/>
              <w:spacing/>
              <w:ind w:right="6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0" w:type="dxa"/>
              <w:top w:w="20" w:type="dxa"/>
              <w:right w:w="20" w:type="dxa"/>
              <w:bottom w:w="20" w:type="dxa"/>
            </w:tcMar>
            <w:tcW w:w="1276" w:type="dxa"/>
            <w:vAlign w:val="center"/>
            <w:textDirection w:val="lrTb"/>
            <w:noWrap w:val="false"/>
          </w:tcPr>
          <w:p w14:paraId="5BAA34DE">
            <w:pPr>
              <w:pBdr/>
              <w:spacing/>
              <w:ind w:right="6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gridAfter w:val="1"/>
          <w:trHeight w:val="260" w:hRule="exact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0" w:type="dxa"/>
              <w:top w:w="20" w:type="dxa"/>
              <w:right w:w="20" w:type="dxa"/>
              <w:bottom w:w="20" w:type="dxa"/>
            </w:tcMar>
            <w:tcW w:w="6844" w:type="dxa"/>
            <w:textDirection w:val="lrTb"/>
            <w:noWrap w:val="false"/>
          </w:tcPr>
          <w:p w14:paraId="6FA3D893">
            <w:pPr>
              <w:pBdr/>
              <w:spacing/>
              <w:ind w:lef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місцевих запозичень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0" w:type="dxa"/>
              <w:top w:w="20" w:type="dxa"/>
              <w:right w:w="20" w:type="dxa"/>
              <w:bottom w:w="20" w:type="dxa"/>
            </w:tcMar>
            <w:tcW w:w="1276" w:type="dxa"/>
            <w:vAlign w:val="center"/>
            <w:textDirection w:val="lrTb"/>
            <w:noWrap w:val="false"/>
          </w:tcPr>
          <w:p w14:paraId="06A10962">
            <w:pPr>
              <w:pBdr/>
              <w:spacing/>
              <w:ind w:right="6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0" w:type="dxa"/>
              <w:top w:w="20" w:type="dxa"/>
              <w:right w:w="20" w:type="dxa"/>
              <w:bottom w:w="20" w:type="dxa"/>
            </w:tcMar>
            <w:tcW w:w="1276" w:type="dxa"/>
            <w:vAlign w:val="center"/>
            <w:textDirection w:val="lrTb"/>
            <w:noWrap w:val="false"/>
          </w:tcPr>
          <w:p w14:paraId="41EAF677">
            <w:pPr>
              <w:pBdr/>
              <w:spacing/>
              <w:ind w:right="6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0" w:type="dxa"/>
              <w:top w:w="20" w:type="dxa"/>
              <w:right w:w="20" w:type="dxa"/>
              <w:bottom w:w="20" w:type="dxa"/>
            </w:tcMar>
            <w:tcW w:w="1276" w:type="dxa"/>
            <w:vAlign w:val="center"/>
            <w:textDirection w:val="lrTb"/>
            <w:noWrap w:val="false"/>
          </w:tcPr>
          <w:p w14:paraId="5F8388F1">
            <w:pPr>
              <w:pBdr/>
              <w:spacing/>
              <w:ind w:right="6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>
          <w:gridAfter w:val="1"/>
          <w:trHeight w:val="260" w:hRule="exact"/>
        </w:trPr>
        <w:tc>
          <w:tcPr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0" w:type="dxa"/>
              <w:top w:w="20" w:type="dxa"/>
              <w:right w:w="20" w:type="dxa"/>
              <w:bottom w:w="20" w:type="dxa"/>
            </w:tcMar>
            <w:tcW w:w="6844" w:type="dxa"/>
            <w:textDirection w:val="lrTb"/>
            <w:noWrap w:val="false"/>
          </w:tcPr>
          <w:p w14:paraId="58FD2BDE">
            <w:pPr>
              <w:pBdr/>
              <w:spacing/>
              <w:ind w:left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інших джерел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0" w:type="dxa"/>
              <w:top w:w="20" w:type="dxa"/>
              <w:right w:w="20" w:type="dxa"/>
              <w:bottom w:w="20" w:type="dxa"/>
            </w:tcMar>
            <w:tcW w:w="1276" w:type="dxa"/>
            <w:vAlign w:val="center"/>
            <w:textDirection w:val="lrTb"/>
            <w:noWrap w:val="false"/>
          </w:tcPr>
          <w:p w14:paraId="69596B1B">
            <w:pPr>
              <w:pBdr/>
              <w:spacing/>
              <w:ind w:right="6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0" w:type="dxa"/>
              <w:top w:w="20" w:type="dxa"/>
              <w:right w:w="20" w:type="dxa"/>
              <w:bottom w:w="20" w:type="dxa"/>
            </w:tcMar>
            <w:tcW w:w="1276" w:type="dxa"/>
            <w:vAlign w:val="center"/>
            <w:textDirection w:val="lrTb"/>
            <w:noWrap w:val="false"/>
          </w:tcPr>
          <w:p w14:paraId="3E4263DB">
            <w:pPr>
              <w:pBdr/>
              <w:spacing/>
              <w:ind w:right="6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0" w:type="dxa"/>
              <w:top w:w="20" w:type="dxa"/>
              <w:right w:w="20" w:type="dxa"/>
              <w:bottom w:w="20" w:type="dxa"/>
            </w:tcMar>
            <w:tcW w:w="1276" w:type="dxa"/>
            <w:vAlign w:val="center"/>
            <w:textDirection w:val="lrTb"/>
            <w:noWrap w:val="false"/>
          </w:tcPr>
          <w:p w14:paraId="31ED1525">
            <w:pPr>
              <w:pBdr/>
              <w:spacing/>
              <w:ind w:right="6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 w14:paraId="685310EC">
      <w:pPr>
        <w:pStyle w:val="973"/>
        <w:pBdr/>
        <w:spacing/>
        <w:ind w:right="281" w:left="0"/>
        <w:jc w:val="right"/>
        <w:rPr>
          <w:spacing w:val="-4"/>
          <w:highlight w:val="none"/>
        </w:rPr>
      </w:pPr>
      <w:r>
        <w:rPr>
          <w:spacing w:val="-4"/>
          <w:highlight w:val="none"/>
        </w:rPr>
      </w:r>
      <w:r>
        <w:rPr>
          <w:spacing w:val="-4"/>
          <w:highlight w:val="none"/>
        </w:rPr>
      </w:r>
      <w:r>
        <w:rPr>
          <w:spacing w:val="-4"/>
          <w:highlight w:val="none"/>
        </w:rPr>
      </w:r>
    </w:p>
    <w:p w14:paraId="24C6C24F">
      <w:pPr>
        <w:pStyle w:val="973"/>
        <w:pBdr/>
        <w:spacing w:before="22"/>
        <w:ind w:left="0"/>
        <w:jc w:val="left"/>
        <w:rPr/>
      </w:pPr>
      <w:r/>
      <w:r/>
    </w:p>
    <w:p w14:paraId="15903B9C">
      <w:pPr>
        <w:pStyle w:val="973"/>
        <w:pBdr/>
        <w:spacing w:before="22"/>
        <w:ind w:left="0"/>
        <w:jc w:val="left"/>
        <w:rPr/>
      </w:pPr>
      <w:r/>
      <w:r/>
    </w:p>
    <w:p w14:paraId="69F9DEB1">
      <w:pPr>
        <w:pStyle w:val="973"/>
        <w:pBdr/>
        <w:spacing w:before="22"/>
        <w:ind w:left="0"/>
        <w:jc w:val="left"/>
        <w:rPr/>
      </w:pPr>
      <w:r/>
      <w:r/>
    </w:p>
    <w:p w14:paraId="3154289A">
      <w:pPr>
        <w:pStyle w:val="973"/>
        <w:pBdr/>
        <w:spacing w:before="22"/>
        <w:ind w:left="0"/>
        <w:jc w:val="left"/>
        <w:rPr/>
      </w:pPr>
      <w:r/>
      <w:r/>
    </w:p>
    <w:p w14:paraId="74E08758">
      <w:pPr>
        <w:pStyle w:val="973"/>
        <w:pBdr/>
        <w:spacing w:before="22"/>
        <w:ind w:left="0"/>
        <w:jc w:val="left"/>
        <w:rPr/>
      </w:pPr>
      <w:r/>
      <w:r/>
    </w:p>
    <w:p w14:paraId="4D0B3211">
      <w:pPr>
        <w:pStyle w:val="973"/>
        <w:pBdr/>
        <w:spacing w:before="22"/>
        <w:ind w:left="0"/>
        <w:jc w:val="left"/>
        <w:rPr/>
      </w:pPr>
      <w:r/>
      <w:r/>
    </w:p>
    <w:p w14:paraId="3BDF8E04">
      <w:pPr>
        <w:pStyle w:val="973"/>
        <w:pBdr/>
        <w:spacing w:before="22"/>
        <w:ind w:left="0"/>
        <w:jc w:val="left"/>
        <w:rPr/>
      </w:pPr>
      <w:r/>
      <w:r/>
    </w:p>
    <w:p w14:paraId="45D17A66">
      <w:pPr>
        <w:pStyle w:val="973"/>
        <w:pBdr/>
        <w:spacing w:before="22"/>
        <w:ind w:left="0"/>
        <w:jc w:val="left"/>
        <w:rPr/>
      </w:pPr>
      <w:r/>
      <w:r/>
    </w:p>
    <w:p w14:paraId="638E65BF">
      <w:pPr>
        <w:pStyle w:val="973"/>
        <w:pBdr/>
        <w:spacing w:before="22"/>
        <w:ind w:left="0"/>
        <w:jc w:val="left"/>
        <w:rPr/>
      </w:pPr>
      <w:r/>
      <w:r/>
    </w:p>
    <w:p w14:paraId="75E680BB">
      <w:pPr>
        <w:pStyle w:val="973"/>
        <w:pBdr/>
        <w:spacing w:before="22"/>
        <w:ind w:left="0"/>
        <w:jc w:val="left"/>
        <w:rPr/>
      </w:pPr>
      <w:r/>
      <w:r/>
    </w:p>
    <w:p w14:paraId="68B6CEFD">
      <w:pPr>
        <w:pStyle w:val="973"/>
        <w:pBdr/>
        <w:spacing w:before="22"/>
        <w:ind w:left="0"/>
        <w:jc w:val="left"/>
        <w:rPr/>
      </w:pPr>
      <w:r/>
      <w:r/>
    </w:p>
    <w:p w14:paraId="661590F8">
      <w:pPr>
        <w:pStyle w:val="973"/>
        <w:pBdr/>
        <w:spacing w:before="22"/>
        <w:ind w:left="0"/>
        <w:jc w:val="left"/>
        <w:rPr/>
      </w:pPr>
      <w:r/>
      <w:r/>
    </w:p>
    <w:p w14:paraId="70078D27">
      <w:pPr>
        <w:pStyle w:val="973"/>
        <w:pBdr/>
        <w:spacing w:before="22"/>
        <w:ind w:left="0"/>
        <w:jc w:val="left"/>
        <w:rPr/>
      </w:pPr>
      <w:r/>
      <w:r/>
      <w:r/>
    </w:p>
    <w:p w14:paraId="504C68B4">
      <w:pPr>
        <w:pStyle w:val="973"/>
        <w:pBdr/>
        <w:spacing w:before="22"/>
        <w:ind w:left="0"/>
        <w:jc w:val="left"/>
        <w:rPr/>
      </w:pPr>
      <w:r/>
      <w:r/>
      <w:r/>
    </w:p>
    <w:p w14:paraId="6C264398">
      <w:pPr>
        <w:pStyle w:val="973"/>
        <w:pBdr/>
        <w:spacing w:before="22"/>
        <w:ind w:left="0"/>
        <w:jc w:val="left"/>
        <w:rPr/>
      </w:pPr>
      <w:r/>
      <w:r/>
      <w:r/>
    </w:p>
    <w:p w14:paraId="267FA434">
      <w:pPr>
        <w:pStyle w:val="973"/>
        <w:pBdr/>
        <w:spacing w:before="22"/>
        <w:ind w:left="0"/>
        <w:jc w:val="left"/>
        <w:rPr/>
      </w:pPr>
      <w:r/>
      <w:r/>
      <w:r/>
    </w:p>
    <w:p w14:paraId="7A3AFB60">
      <w:pPr>
        <w:pStyle w:val="973"/>
        <w:pBdr/>
        <w:spacing w:before="22"/>
        <w:ind w:left="0"/>
        <w:jc w:val="left"/>
        <w:rPr/>
      </w:pPr>
      <w:r/>
      <w:r/>
      <w:r/>
    </w:p>
    <w:p w14:paraId="3A88D4CD">
      <w:pPr>
        <w:pStyle w:val="973"/>
        <w:pBdr/>
        <w:spacing w:before="22"/>
        <w:ind w:left="0"/>
        <w:jc w:val="left"/>
        <w:rPr/>
      </w:pPr>
      <w:r/>
      <w:r/>
      <w:r/>
    </w:p>
    <w:p>
      <w:pPr>
        <w:pStyle w:val="973"/>
        <w:pBdr/>
        <w:spacing w:before="22"/>
        <w:ind w:left="0"/>
        <w:jc w:val="left"/>
        <w:rPr/>
      </w:pPr>
      <w:r/>
      <w:r/>
    </w:p>
    <w:p>
      <w:pPr>
        <w:pStyle w:val="973"/>
        <w:pBdr/>
        <w:spacing/>
        <w:ind w:right="280" w:firstLine="708"/>
        <w:rPr>
          <w:highlight w:val="white"/>
        </w:rPr>
      </w:pPr>
      <w:r>
        <w:rPr>
          <w:highlight w:val="white"/>
        </w:rPr>
        <w:t xml:space="preserve">Розподіл</w:t>
      </w:r>
      <w:r>
        <w:rPr>
          <w:spacing w:val="-4"/>
          <w:highlight w:val="white"/>
        </w:rPr>
        <w:t xml:space="preserve"> </w:t>
      </w:r>
      <w:r>
        <w:rPr>
          <w:highlight w:val="white"/>
        </w:rPr>
        <w:t xml:space="preserve">орієнтовного</w:t>
      </w:r>
      <w:r>
        <w:rPr>
          <w:spacing w:val="-4"/>
          <w:highlight w:val="white"/>
        </w:rPr>
        <w:t xml:space="preserve"> </w:t>
      </w:r>
      <w:r>
        <w:rPr>
          <w:highlight w:val="white"/>
        </w:rPr>
        <w:t xml:space="preserve">граничного</w:t>
      </w:r>
      <w:r>
        <w:rPr>
          <w:spacing w:val="-4"/>
          <w:highlight w:val="white"/>
        </w:rPr>
        <w:t xml:space="preserve"> </w:t>
      </w:r>
      <w:r>
        <w:rPr>
          <w:highlight w:val="white"/>
        </w:rPr>
        <w:t xml:space="preserve">сукупного</w:t>
      </w:r>
      <w:r>
        <w:rPr>
          <w:spacing w:val="-4"/>
          <w:highlight w:val="white"/>
        </w:rPr>
        <w:t xml:space="preserve"> </w:t>
      </w:r>
      <w:r>
        <w:rPr>
          <w:highlight w:val="white"/>
        </w:rPr>
        <w:t xml:space="preserve">обсягу</w:t>
      </w:r>
      <w:r>
        <w:rPr>
          <w:spacing w:val="-4"/>
          <w:highlight w:val="white"/>
        </w:rPr>
        <w:t xml:space="preserve"> </w:t>
      </w:r>
      <w:r>
        <w:rPr>
          <w:highlight w:val="white"/>
        </w:rPr>
        <w:t xml:space="preserve">публічних</w:t>
      </w:r>
      <w:r>
        <w:rPr>
          <w:spacing w:val="-4"/>
          <w:highlight w:val="white"/>
        </w:rPr>
        <w:t xml:space="preserve"> </w:t>
      </w:r>
      <w:r>
        <w:rPr>
          <w:highlight w:val="white"/>
        </w:rPr>
        <w:t xml:space="preserve">інвестицій на 2027, 2028, 2029 роки на сектори (галузі) для публічного інвестування в межах доведеного управлінням</w:t>
      </w:r>
      <w:r>
        <w:rPr>
          <w:highlight w:val="white"/>
        </w:rPr>
        <w:t xml:space="preserve"> фінансів Берестинської міської ради орієнтовного граничного сукупного обсягу публічних інвестицій на середньостроковий період має таку </w:t>
      </w:r>
      <w:r>
        <w:rPr>
          <w:spacing w:val="-2"/>
          <w:highlight w:val="white"/>
        </w:rPr>
        <w:t xml:space="preserve">структуру:</w:t>
      </w:r>
      <w:r>
        <w:rPr>
          <w:highlight w:val="white"/>
        </w:rPr>
      </w:r>
      <w:r>
        <w:rPr>
          <w:highlight w:val="white"/>
        </w:rPr>
      </w:r>
    </w:p>
    <w:p>
      <w:pPr>
        <w:pStyle w:val="973"/>
        <w:pBdr/>
        <w:spacing/>
        <w:ind w:left="0"/>
        <w:jc w:val="left"/>
        <w:rPr/>
      </w:pPr>
      <w:r/>
      <w:r/>
    </w:p>
    <w:p>
      <w:pPr>
        <w:pStyle w:val="973"/>
        <w:pBdr/>
        <w:spacing/>
        <w:ind w:right="0" w:firstLine="0" w:left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тис. </w:t>
      </w:r>
      <w:r>
        <w:rPr>
          <w:spacing w:val="-4"/>
          <w:sz w:val="24"/>
          <w:szCs w:val="24"/>
        </w:rPr>
        <w:t xml:space="preserve">грн.</w:t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Ind w:w="40" w:type="dxa"/>
        <w:tblW w:w="0" w:type="auto"/>
        <w:tblCellMar>
          <w:left w:w="0" w:type="dxa"/>
          <w:top w:w="0" w:type="dxa"/>
          <w:right w:w="0" w:type="dxa"/>
          <w:bottom w:w="0" w:type="dxa"/>
        </w:tblCellMar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121"/>
        <w:gridCol w:w="1828"/>
        <w:gridCol w:w="1828"/>
        <w:gridCol w:w="1828"/>
        <w:gridCol w:w="2318"/>
      </w:tblGrid>
      <w:tr>
        <w:trPr>
          <w:trHeight w:val="1103"/>
        </w:trPr>
        <w:tc>
          <w:tcPr>
            <w:tcBorders/>
            <w:tcW w:w="2121" w:type="dxa"/>
            <w:textDirection w:val="lrTb"/>
            <w:noWrap w:val="false"/>
          </w:tcPr>
          <w:p>
            <w:pPr>
              <w:pStyle w:val="975"/>
              <w:pBdr/>
              <w:spacing/>
              <w:ind w:left="108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Галузь </w:t>
            </w:r>
            <w:r>
              <w:rPr>
                <w:b/>
                <w:spacing w:val="-2"/>
                <w:sz w:val="24"/>
              </w:rPr>
              <w:t xml:space="preserve">(сектор)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Borders/>
            <w:tcW w:w="1828" w:type="dxa"/>
            <w:textDirection w:val="lrTb"/>
            <w:noWrap w:val="false"/>
          </w:tcPr>
          <w:p>
            <w:pPr>
              <w:pStyle w:val="975"/>
              <w:pBdr/>
              <w:spacing/>
              <w:ind w:right="458" w:left="108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Граничний </w:t>
            </w:r>
            <w:r>
              <w:rPr>
                <w:b/>
                <w:sz w:val="24"/>
              </w:rPr>
              <w:t xml:space="preserve">розподіл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на 2027 рік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Borders/>
            <w:tcW w:w="1828" w:type="dxa"/>
            <w:textDirection w:val="lrTb"/>
            <w:noWrap w:val="false"/>
          </w:tcPr>
          <w:p>
            <w:pPr>
              <w:pStyle w:val="975"/>
              <w:pBdr/>
              <w:spacing/>
              <w:ind w:right="458" w:left="107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Граничний </w:t>
            </w:r>
            <w:r>
              <w:rPr>
                <w:b/>
                <w:sz w:val="24"/>
              </w:rPr>
              <w:t xml:space="preserve">розподіл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на 2028 рік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Borders/>
            <w:tcW w:w="1828" w:type="dxa"/>
            <w:textDirection w:val="lrTb"/>
            <w:noWrap w:val="false"/>
          </w:tcPr>
          <w:p>
            <w:pPr>
              <w:pStyle w:val="975"/>
              <w:pBdr/>
              <w:spacing/>
              <w:ind w:right="458" w:left="108"/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Граничний </w:t>
            </w:r>
            <w:r>
              <w:rPr>
                <w:b/>
                <w:sz w:val="24"/>
              </w:rPr>
              <w:t xml:space="preserve">розподіл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на 2029 рік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Borders/>
            <w:tcW w:w="2318" w:type="dxa"/>
            <w:textDirection w:val="lrTb"/>
            <w:noWrap w:val="false"/>
          </w:tcPr>
          <w:p>
            <w:pPr>
              <w:pStyle w:val="975"/>
              <w:pBdr/>
              <w:spacing w:line="270" w:lineRule="atLeast"/>
              <w:ind w:right="74" w:left="108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Граничний </w:t>
            </w:r>
            <w:r>
              <w:rPr>
                <w:b/>
                <w:sz w:val="24"/>
              </w:rPr>
              <w:t xml:space="preserve">розподіл на </w:t>
            </w:r>
            <w:r>
              <w:rPr>
                <w:b/>
                <w:spacing w:val="-2"/>
                <w:sz w:val="24"/>
              </w:rPr>
              <w:t xml:space="preserve">середньостроковий період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  <w:tr>
        <w:trPr>
          <w:trHeight w:val="791"/>
        </w:trPr>
        <w:tc>
          <w:tcPr>
            <w:tcBorders/>
            <w:tcW w:w="2121" w:type="dxa"/>
            <w:textDirection w:val="lrTb"/>
            <w:noWrap w:val="false"/>
          </w:tcPr>
          <w:p>
            <w:pPr>
              <w:pStyle w:val="975"/>
              <w:pBdr/>
              <w:spacing w:before="120"/>
              <w:ind w:right="765" w:left="108"/>
              <w:jc w:val="left"/>
              <w:rPr>
                <w:sz w:val="24"/>
              </w:rPr>
            </w:pPr>
            <w:r>
              <w:rPr>
                <w:sz w:val="24"/>
              </w:rPr>
              <w:t xml:space="preserve">Культура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та </w:t>
            </w:r>
            <w:r>
              <w:rPr>
                <w:spacing w:val="-2"/>
                <w:sz w:val="24"/>
              </w:rPr>
              <w:t xml:space="preserve">інформація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/>
            <w:tcW w:w="1828" w:type="dxa"/>
            <w:textDirection w:val="lrTb"/>
            <w:noWrap w:val="false"/>
          </w:tcPr>
          <w:p w14:paraId="114E2FA3">
            <w:pPr>
              <w:pBdr/>
              <w:spacing/>
              <w:ind/>
              <w:jc w:val="center"/>
              <w:rPr/>
            </w:pPr>
            <w:r>
              <w:t xml:space="preserve">43,0</w:t>
            </w:r>
            <w:r/>
          </w:p>
        </w:tc>
        <w:tc>
          <w:tcPr>
            <w:tcBorders/>
            <w:tcW w:w="1828" w:type="dxa"/>
            <w:textDirection w:val="lrTb"/>
            <w:noWrap w:val="false"/>
          </w:tcPr>
          <w:p w14:paraId="02CC5421">
            <w:pPr>
              <w:pBdr/>
              <w:spacing/>
              <w:ind/>
              <w:jc w:val="center"/>
              <w:rPr/>
            </w:pPr>
            <w:r>
              <w:t xml:space="preserve">83,3</w:t>
            </w:r>
            <w:r/>
          </w:p>
        </w:tc>
        <w:tc>
          <w:tcPr>
            <w:tcBorders/>
            <w:tcW w:w="1828" w:type="dxa"/>
            <w:textDirection w:val="lrTb"/>
            <w:noWrap w:val="false"/>
          </w:tcPr>
          <w:p w14:paraId="1BFB90D3">
            <w:pPr>
              <w:pBdr/>
              <w:spacing/>
              <w:ind/>
              <w:jc w:val="center"/>
              <w:rPr/>
            </w:pPr>
            <w:r>
              <w:t xml:space="preserve">83,3</w:t>
            </w:r>
            <w:r/>
          </w:p>
        </w:tc>
        <w:tc>
          <w:tcPr>
            <w:tcBorders/>
            <w:tcW w:w="2318" w:type="dxa"/>
            <w:textDirection w:val="lrTb"/>
            <w:noWrap w:val="false"/>
          </w:tcPr>
          <w:p w14:paraId="391B6858">
            <w:pPr>
              <w:pBdr/>
              <w:spacing/>
              <w:ind/>
              <w:jc w:val="center"/>
              <w:rPr/>
            </w:pPr>
            <w:r>
              <w:t xml:space="preserve">209,6</w:t>
            </w:r>
            <w:r/>
          </w:p>
        </w:tc>
      </w:tr>
      <w:tr>
        <w:trPr>
          <w:trHeight w:val="791"/>
        </w:trPr>
        <w:tc>
          <w:tcPr>
            <w:tcBorders/>
            <w:tcW w:w="2121" w:type="dxa"/>
            <w:textDirection w:val="lrTb"/>
            <w:noWrap w:val="false"/>
          </w:tcPr>
          <w:p>
            <w:pPr>
              <w:pStyle w:val="975"/>
              <w:pBdr/>
              <w:spacing w:before="120"/>
              <w:ind w:right="802" w:left="108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Громадська безпека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/>
            <w:tcW w:w="1828" w:type="dxa"/>
            <w:textDirection w:val="lrTb"/>
            <w:noWrap w:val="false"/>
          </w:tcPr>
          <w:p w14:paraId="0ED20940">
            <w:pPr>
              <w:pBdr/>
              <w:spacing/>
              <w:ind/>
              <w:jc w:val="center"/>
              <w:rPr/>
            </w:pPr>
            <w:r>
              <w:t xml:space="preserve">43,0</w:t>
            </w:r>
            <w:r/>
          </w:p>
          <w:p w14:paraId="02157759"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1828" w:type="dxa"/>
            <w:textDirection w:val="lrTb"/>
            <w:noWrap w:val="false"/>
          </w:tcPr>
          <w:p w14:paraId="131A3350">
            <w:pPr>
              <w:pBdr/>
              <w:spacing/>
              <w:ind/>
              <w:jc w:val="center"/>
              <w:rPr/>
            </w:pPr>
            <w:r>
              <w:t xml:space="preserve">83,3</w:t>
            </w:r>
            <w:r/>
          </w:p>
        </w:tc>
        <w:tc>
          <w:tcPr>
            <w:tcBorders/>
            <w:tcW w:w="1828" w:type="dxa"/>
            <w:textDirection w:val="lrTb"/>
            <w:noWrap w:val="false"/>
          </w:tcPr>
          <w:p w14:paraId="7BAAEF3B">
            <w:pPr>
              <w:pBdr/>
              <w:spacing/>
              <w:ind/>
              <w:jc w:val="center"/>
              <w:rPr/>
            </w:pPr>
            <w:r>
              <w:t xml:space="preserve">83,3</w:t>
            </w:r>
            <w:r/>
          </w:p>
        </w:tc>
        <w:tc>
          <w:tcPr>
            <w:tcBorders/>
            <w:tcW w:w="2318" w:type="dxa"/>
            <w:textDirection w:val="lrTb"/>
            <w:noWrap w:val="false"/>
          </w:tcPr>
          <w:p w14:paraId="0D380AD7">
            <w:pPr>
              <w:pBdr/>
              <w:spacing/>
              <w:ind/>
              <w:jc w:val="center"/>
              <w:rPr/>
            </w:pPr>
            <w:r>
              <w:t xml:space="preserve">209,6</w:t>
            </w:r>
            <w:r/>
          </w:p>
        </w:tc>
      </w:tr>
      <w:tr>
        <w:trPr>
          <w:trHeight w:val="1067"/>
        </w:trPr>
        <w:tc>
          <w:tcPr>
            <w:tcBorders/>
            <w:tcW w:w="2121" w:type="dxa"/>
            <w:textDirection w:val="lrTb"/>
            <w:noWrap w:val="false"/>
          </w:tcPr>
          <w:p>
            <w:pPr>
              <w:pStyle w:val="975"/>
              <w:pBdr/>
              <w:spacing w:before="120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 xml:space="preserve">Спорт,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фізичне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та </w:t>
            </w:r>
            <w:r>
              <w:rPr>
                <w:spacing w:val="-2"/>
                <w:sz w:val="24"/>
              </w:rPr>
              <w:t xml:space="preserve">молодіжне виховання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/>
            <w:tcW w:w="1828" w:type="dxa"/>
            <w:textDirection w:val="lrTb"/>
            <w:noWrap w:val="false"/>
          </w:tcPr>
          <w:p w14:paraId="7D389D0B">
            <w:pPr>
              <w:pBdr/>
              <w:spacing/>
              <w:ind/>
              <w:jc w:val="center"/>
              <w:rPr/>
            </w:pPr>
            <w:r>
              <w:t xml:space="preserve">43,0</w:t>
            </w:r>
            <w:r/>
          </w:p>
        </w:tc>
        <w:tc>
          <w:tcPr>
            <w:tcBorders/>
            <w:tcW w:w="1828" w:type="dxa"/>
            <w:textDirection w:val="lrTb"/>
            <w:noWrap w:val="false"/>
          </w:tcPr>
          <w:p w14:paraId="109A25C1">
            <w:pPr>
              <w:pBdr/>
              <w:spacing/>
              <w:ind/>
              <w:jc w:val="center"/>
              <w:rPr/>
            </w:pPr>
            <w:r>
              <w:t xml:space="preserve">83,3</w:t>
            </w:r>
            <w:r/>
          </w:p>
        </w:tc>
        <w:tc>
          <w:tcPr>
            <w:tcBorders/>
            <w:tcW w:w="1828" w:type="dxa"/>
            <w:textDirection w:val="lrTb"/>
            <w:noWrap w:val="false"/>
          </w:tcPr>
          <w:p w14:paraId="602D1BB1">
            <w:pPr>
              <w:pBdr/>
              <w:spacing/>
              <w:ind/>
              <w:jc w:val="center"/>
              <w:rPr/>
            </w:pPr>
            <w:r>
              <w:t xml:space="preserve">83,3</w:t>
            </w:r>
            <w:r/>
          </w:p>
        </w:tc>
        <w:tc>
          <w:tcPr>
            <w:tcBorders/>
            <w:tcW w:w="2318" w:type="dxa"/>
            <w:textDirection w:val="lrTb"/>
            <w:noWrap w:val="false"/>
          </w:tcPr>
          <w:p w14:paraId="5F58625E">
            <w:pPr>
              <w:pBdr/>
              <w:spacing/>
              <w:ind/>
              <w:jc w:val="center"/>
              <w:rPr/>
            </w:pPr>
            <w:r>
              <w:t xml:space="preserve">209,6</w:t>
            </w:r>
            <w:r/>
          </w:p>
        </w:tc>
      </w:tr>
      <w:tr>
        <w:trPr>
          <w:trHeight w:val="515"/>
        </w:trPr>
        <w:tc>
          <w:tcPr>
            <w:tcBorders/>
            <w:tcW w:w="2121" w:type="dxa"/>
            <w:textDirection w:val="lrTb"/>
            <w:noWrap w:val="false"/>
          </w:tcPr>
          <w:p>
            <w:pPr>
              <w:pStyle w:val="975"/>
              <w:pBdr/>
              <w:spacing w:before="120"/>
              <w:ind w:left="108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Житло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/>
            <w:tcW w:w="1828" w:type="dxa"/>
            <w:textDirection w:val="lrTb"/>
            <w:noWrap w:val="false"/>
          </w:tcPr>
          <w:p w14:paraId="4F5DFEE1">
            <w:pPr>
              <w:pBdr/>
              <w:spacing/>
              <w:ind/>
              <w:jc w:val="center"/>
              <w:rPr/>
            </w:pPr>
            <w:r>
              <w:t xml:space="preserve">140,0</w:t>
            </w:r>
            <w:r/>
          </w:p>
        </w:tc>
        <w:tc>
          <w:tcPr>
            <w:tcBorders/>
            <w:tcW w:w="1828" w:type="dxa"/>
            <w:textDirection w:val="lrTb"/>
            <w:noWrap w:val="false"/>
          </w:tcPr>
          <w:p w14:paraId="187A3410">
            <w:pPr>
              <w:pBdr/>
              <w:spacing/>
              <w:ind/>
              <w:jc w:val="center"/>
              <w:rPr/>
            </w:pPr>
            <w:r>
              <w:t xml:space="preserve">83,3</w:t>
            </w:r>
            <w:r/>
          </w:p>
        </w:tc>
        <w:tc>
          <w:tcPr>
            <w:tcBorders/>
            <w:tcW w:w="1828" w:type="dxa"/>
            <w:textDirection w:val="lrTb"/>
            <w:noWrap w:val="false"/>
          </w:tcPr>
          <w:p w14:paraId="348660BE">
            <w:pPr>
              <w:pBdr/>
              <w:spacing/>
              <w:ind/>
              <w:jc w:val="center"/>
              <w:rPr/>
            </w:pPr>
            <w:r>
              <w:t xml:space="preserve">83,3</w:t>
            </w:r>
            <w:r/>
          </w:p>
        </w:tc>
        <w:tc>
          <w:tcPr>
            <w:tcBorders/>
            <w:tcW w:w="2318" w:type="dxa"/>
            <w:textDirection w:val="lrTb"/>
            <w:noWrap w:val="false"/>
          </w:tcPr>
          <w:p w14:paraId="6F264540">
            <w:pPr>
              <w:pBdr/>
              <w:spacing/>
              <w:ind/>
              <w:jc w:val="center"/>
              <w:rPr/>
            </w:pPr>
            <w:r>
              <w:t xml:space="preserve">306,6</w:t>
            </w:r>
            <w:r/>
          </w:p>
        </w:tc>
      </w:tr>
      <w:tr>
        <w:trPr>
          <w:trHeight w:val="1067"/>
        </w:trPr>
        <w:tc>
          <w:tcPr>
            <w:tcBorders/>
            <w:tcW w:w="2121" w:type="dxa"/>
            <w:textDirection w:val="lrTb"/>
            <w:noWrap w:val="false"/>
          </w:tcPr>
          <w:p>
            <w:pPr>
              <w:pStyle w:val="975"/>
              <w:pBdr/>
              <w:spacing w:before="120"/>
              <w:ind w:right="130" w:left="108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Муніципальна </w:t>
            </w:r>
            <w:r>
              <w:rPr>
                <w:sz w:val="24"/>
              </w:rPr>
              <w:t xml:space="preserve">інфраструктура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та </w:t>
            </w:r>
            <w:r>
              <w:rPr>
                <w:spacing w:val="-2"/>
                <w:sz w:val="24"/>
              </w:rPr>
              <w:t xml:space="preserve">послуги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/>
            <w:tcW w:w="1828" w:type="dxa"/>
            <w:textDirection w:val="lrTb"/>
            <w:noWrap w:val="false"/>
          </w:tcPr>
          <w:p w14:paraId="6C55BBA8">
            <w:pPr>
              <w:pBdr/>
              <w:spacing/>
              <w:ind/>
              <w:jc w:val="center"/>
              <w:rPr/>
            </w:pPr>
            <w:r>
              <w:t xml:space="preserve">140,0</w:t>
            </w:r>
            <w:r/>
          </w:p>
        </w:tc>
        <w:tc>
          <w:tcPr>
            <w:tcBorders/>
            <w:tcW w:w="1828" w:type="dxa"/>
            <w:textDirection w:val="lrTb"/>
            <w:noWrap w:val="false"/>
          </w:tcPr>
          <w:p w14:paraId="5254E6A2">
            <w:pPr>
              <w:pBdr/>
              <w:spacing/>
              <w:ind/>
              <w:jc w:val="center"/>
              <w:rPr/>
            </w:pPr>
            <w:r>
              <w:t xml:space="preserve">83,4</w:t>
            </w:r>
            <w:r/>
          </w:p>
        </w:tc>
        <w:tc>
          <w:tcPr>
            <w:tcBorders/>
            <w:tcW w:w="1828" w:type="dxa"/>
            <w:textDirection w:val="lrTb"/>
            <w:noWrap w:val="false"/>
          </w:tcPr>
          <w:p w14:paraId="1B021814">
            <w:pPr>
              <w:pBdr/>
              <w:spacing/>
              <w:ind/>
              <w:jc w:val="center"/>
              <w:rPr/>
            </w:pPr>
            <w:r>
              <w:t xml:space="preserve">83,4</w:t>
            </w:r>
            <w:r/>
          </w:p>
        </w:tc>
        <w:tc>
          <w:tcPr>
            <w:tcBorders/>
            <w:tcW w:w="2318" w:type="dxa"/>
            <w:textDirection w:val="lrTb"/>
            <w:noWrap w:val="false"/>
          </w:tcPr>
          <w:p w14:paraId="31403D61">
            <w:pPr>
              <w:pBdr/>
              <w:spacing/>
              <w:ind/>
              <w:jc w:val="center"/>
              <w:rPr/>
            </w:pPr>
            <w:r>
              <w:t xml:space="preserve">306,8</w:t>
            </w:r>
            <w:r/>
          </w:p>
        </w:tc>
      </w:tr>
      <w:tr>
        <w:trPr>
          <w:trHeight w:val="1067"/>
        </w:trPr>
        <w:tc>
          <w:tcPr>
            <w:tcBorders/>
            <w:tcW w:w="2121" w:type="dxa"/>
            <w:textDirection w:val="lrTb"/>
            <w:noWrap w:val="false"/>
          </w:tcPr>
          <w:p>
            <w:pPr>
              <w:pStyle w:val="975"/>
              <w:pBdr/>
              <w:spacing w:before="120"/>
              <w:ind w:right="134" w:left="108"/>
              <w:jc w:val="left"/>
              <w:rPr>
                <w:sz w:val="24"/>
              </w:rPr>
            </w:pPr>
            <w:r>
              <w:rPr>
                <w:sz w:val="24"/>
              </w:rPr>
              <w:t xml:space="preserve">Транспорт та </w:t>
            </w:r>
            <w:r>
              <w:rPr>
                <w:spacing w:val="-2"/>
                <w:sz w:val="24"/>
              </w:rPr>
              <w:t xml:space="preserve">послуги </w:t>
            </w:r>
            <w:r>
              <w:rPr>
                <w:sz w:val="24"/>
              </w:rPr>
              <w:t xml:space="preserve">поштового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зв'язку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/>
            <w:tcW w:w="1828" w:type="dxa"/>
            <w:textDirection w:val="lrTb"/>
            <w:noWrap w:val="false"/>
          </w:tcPr>
          <w:p w14:paraId="1AE17866">
            <w:pPr>
              <w:pBdr/>
              <w:spacing/>
              <w:ind/>
              <w:jc w:val="center"/>
              <w:rPr/>
            </w:pPr>
            <w:r>
              <w:t xml:space="preserve">43,0</w:t>
            </w:r>
            <w:r/>
          </w:p>
        </w:tc>
        <w:tc>
          <w:tcPr>
            <w:tcBorders/>
            <w:tcW w:w="1828" w:type="dxa"/>
            <w:textDirection w:val="lrTb"/>
            <w:noWrap w:val="false"/>
          </w:tcPr>
          <w:p w14:paraId="4E851DCA">
            <w:pPr>
              <w:pBdr/>
              <w:spacing/>
              <w:ind/>
              <w:jc w:val="center"/>
              <w:rPr/>
            </w:pPr>
            <w:r>
              <w:t xml:space="preserve">83,4</w:t>
            </w:r>
            <w:r/>
          </w:p>
        </w:tc>
        <w:tc>
          <w:tcPr>
            <w:tcBorders/>
            <w:tcW w:w="1828" w:type="dxa"/>
            <w:textDirection w:val="lrTb"/>
            <w:noWrap w:val="false"/>
          </w:tcPr>
          <w:p w14:paraId="6651189F">
            <w:pPr>
              <w:pBdr/>
              <w:spacing/>
              <w:ind/>
              <w:jc w:val="center"/>
              <w:rPr/>
            </w:pPr>
            <w:r>
              <w:t xml:space="preserve">83,4</w:t>
            </w:r>
            <w:r/>
          </w:p>
        </w:tc>
        <w:tc>
          <w:tcPr>
            <w:tcBorders/>
            <w:tcW w:w="2318" w:type="dxa"/>
            <w:textDirection w:val="lrTb"/>
            <w:noWrap w:val="false"/>
          </w:tcPr>
          <w:p w14:paraId="6F3A0517">
            <w:pPr>
              <w:pBdr/>
              <w:spacing/>
              <w:ind/>
              <w:jc w:val="center"/>
              <w:rPr/>
            </w:pPr>
            <w:r>
              <w:t xml:space="preserve">209,8</w:t>
            </w:r>
            <w:r/>
          </w:p>
        </w:tc>
      </w:tr>
    </w:tbl>
    <w:tbl>
      <w:tblPr>
        <w:tblInd w:w="40" w:type="dxa"/>
        <w:tblW w:w="0" w:type="auto"/>
        <w:tblCellMar>
          <w:left w:w="0" w:type="dxa"/>
          <w:top w:w="0" w:type="dxa"/>
          <w:right w:w="0" w:type="dxa"/>
          <w:bottom w:w="0" w:type="dxa"/>
        </w:tblCellMar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121"/>
        <w:gridCol w:w="1828"/>
        <w:gridCol w:w="1828"/>
        <w:gridCol w:w="1828"/>
        <w:gridCol w:w="2318"/>
      </w:tblGrid>
      <w:tr>
        <w:trPr>
          <w:trHeight w:val="515"/>
        </w:trPr>
        <w:tc>
          <w:tcPr>
            <w:tcBorders/>
            <w:tcW w:w="2121" w:type="dxa"/>
            <w:textDirection w:val="lrTb"/>
            <w:noWrap w:val="false"/>
          </w:tcPr>
          <w:p>
            <w:pPr>
              <w:pStyle w:val="975"/>
              <w:pBdr/>
              <w:spacing w:before="120"/>
              <w:ind w:left="108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Довкілля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/>
            <w:tcW w:w="1828" w:type="dxa"/>
            <w:textDirection w:val="lrTb"/>
            <w:noWrap w:val="false"/>
          </w:tcPr>
          <w:p w14:paraId="7285C382">
            <w:pPr>
              <w:pBdr/>
              <w:spacing/>
              <w:ind/>
              <w:jc w:val="center"/>
              <w:rPr/>
            </w:pPr>
            <w:r>
              <w:t xml:space="preserve">140,0</w:t>
            </w:r>
            <w:r/>
          </w:p>
        </w:tc>
        <w:tc>
          <w:tcPr>
            <w:tcBorders/>
            <w:tcW w:w="1828" w:type="dxa"/>
            <w:textDirection w:val="lrTb"/>
            <w:noWrap w:val="false"/>
          </w:tcPr>
          <w:p w14:paraId="6A66DAD1">
            <w:pPr>
              <w:pBdr/>
              <w:spacing/>
              <w:ind/>
              <w:jc w:val="center"/>
              <w:rPr/>
            </w:pPr>
            <w:r>
              <w:t xml:space="preserve">83,3</w:t>
            </w:r>
            <w:r/>
          </w:p>
        </w:tc>
        <w:tc>
          <w:tcPr>
            <w:tcBorders/>
            <w:tcW w:w="1828" w:type="dxa"/>
            <w:textDirection w:val="lrTb"/>
            <w:noWrap w:val="false"/>
          </w:tcPr>
          <w:p w14:paraId="551E71AD">
            <w:pPr>
              <w:pBdr/>
              <w:spacing/>
              <w:ind/>
              <w:jc w:val="center"/>
              <w:rPr/>
            </w:pPr>
            <w:r>
              <w:t xml:space="preserve">83,3</w:t>
            </w:r>
            <w:r/>
          </w:p>
        </w:tc>
        <w:tc>
          <w:tcPr>
            <w:tcBorders/>
            <w:tcW w:w="2318" w:type="dxa"/>
            <w:textDirection w:val="lrTb"/>
            <w:noWrap w:val="false"/>
          </w:tcPr>
          <w:p w14:paraId="340124B5">
            <w:pPr>
              <w:pBdr/>
              <w:spacing/>
              <w:ind/>
              <w:jc w:val="center"/>
              <w:rPr/>
            </w:pPr>
            <w:r>
              <w:t xml:space="preserve">306,6</w:t>
            </w:r>
            <w:r/>
          </w:p>
        </w:tc>
      </w:tr>
      <w:tr>
        <w:trPr>
          <w:trHeight w:val="515"/>
        </w:trPr>
        <w:tc>
          <w:tcPr>
            <w:tcBorders/>
            <w:tcW w:w="2121" w:type="dxa"/>
            <w:textDirection w:val="lrTb"/>
            <w:noWrap w:val="false"/>
          </w:tcPr>
          <w:p>
            <w:pPr>
              <w:pStyle w:val="975"/>
              <w:pBdr/>
              <w:spacing w:before="120"/>
              <w:ind w:left="108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Енергетика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/>
            <w:tcW w:w="1828" w:type="dxa"/>
            <w:textDirection w:val="lrTb"/>
            <w:noWrap w:val="false"/>
          </w:tcPr>
          <w:p w14:paraId="7A01DCEB">
            <w:pPr>
              <w:pBdr/>
              <w:spacing/>
              <w:ind/>
              <w:jc w:val="center"/>
              <w:rPr/>
            </w:pPr>
            <w:r>
              <w:t xml:space="preserve">43,0</w:t>
            </w:r>
            <w:r/>
          </w:p>
          <w:p w14:paraId="21D0364D">
            <w:pPr>
              <w:pBdr/>
              <w:spacing/>
              <w:ind/>
              <w:jc w:val="center"/>
              <w:rPr/>
            </w:pPr>
            <w:r/>
            <w:r/>
          </w:p>
        </w:tc>
        <w:tc>
          <w:tcPr>
            <w:tcBorders/>
            <w:tcW w:w="1828" w:type="dxa"/>
            <w:textDirection w:val="lrTb"/>
            <w:noWrap w:val="false"/>
          </w:tcPr>
          <w:p w14:paraId="1F9DD3A0">
            <w:pPr>
              <w:pBdr/>
              <w:spacing/>
              <w:ind/>
              <w:jc w:val="center"/>
              <w:rPr/>
            </w:pPr>
            <w:r>
              <w:t xml:space="preserve">83,4</w:t>
            </w:r>
            <w:r/>
          </w:p>
        </w:tc>
        <w:tc>
          <w:tcPr>
            <w:tcBorders/>
            <w:tcW w:w="1828" w:type="dxa"/>
            <w:textDirection w:val="lrTb"/>
            <w:noWrap w:val="false"/>
          </w:tcPr>
          <w:p w14:paraId="46A5CE11">
            <w:pPr>
              <w:pBdr/>
              <w:spacing/>
              <w:ind/>
              <w:jc w:val="center"/>
              <w:rPr/>
            </w:pPr>
            <w:r>
              <w:t xml:space="preserve">83,4</w:t>
            </w:r>
            <w:r/>
          </w:p>
        </w:tc>
        <w:tc>
          <w:tcPr>
            <w:tcBorders/>
            <w:tcW w:w="2318" w:type="dxa"/>
            <w:textDirection w:val="lrTb"/>
            <w:noWrap w:val="false"/>
          </w:tcPr>
          <w:p w14:paraId="07AE7733">
            <w:pPr>
              <w:pBdr/>
              <w:spacing/>
              <w:ind/>
              <w:jc w:val="center"/>
              <w:rPr/>
            </w:pPr>
            <w:r>
              <w:t xml:space="preserve">209,8</w:t>
            </w:r>
            <w:r/>
          </w:p>
        </w:tc>
      </w:tr>
      <w:tr>
        <w:trPr>
          <w:trHeight w:val="1343"/>
        </w:trPr>
        <w:tc>
          <w:tcPr>
            <w:tcBorders/>
            <w:tcW w:w="2121" w:type="dxa"/>
            <w:textDirection w:val="lrTb"/>
            <w:noWrap w:val="false"/>
          </w:tcPr>
          <w:p>
            <w:pPr>
              <w:pStyle w:val="975"/>
              <w:pBdr/>
              <w:spacing w:before="120"/>
              <w:ind w:left="108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Цифрова трансформація </w:t>
            </w:r>
            <w:r>
              <w:rPr>
                <w:sz w:val="24"/>
              </w:rPr>
              <w:t xml:space="preserve">держави та </w:t>
            </w:r>
            <w:r>
              <w:rPr>
                <w:spacing w:val="-2"/>
                <w:sz w:val="24"/>
              </w:rPr>
              <w:t xml:space="preserve">суспільства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/>
            <w:tcW w:w="1828" w:type="dxa"/>
            <w:textDirection w:val="lrTb"/>
            <w:noWrap w:val="false"/>
          </w:tcPr>
          <w:p w14:paraId="75250DE6">
            <w:pPr>
              <w:pBdr/>
              <w:spacing/>
              <w:ind/>
              <w:jc w:val="center"/>
              <w:rPr/>
            </w:pPr>
            <w:r>
              <w:t xml:space="preserve">42,0</w:t>
            </w:r>
            <w:r/>
          </w:p>
        </w:tc>
        <w:tc>
          <w:tcPr>
            <w:tcBorders/>
            <w:tcW w:w="1828" w:type="dxa"/>
            <w:textDirection w:val="lrTb"/>
            <w:noWrap w:val="false"/>
          </w:tcPr>
          <w:p w14:paraId="622E5321">
            <w:pPr>
              <w:pBdr/>
              <w:spacing/>
              <w:ind/>
              <w:jc w:val="center"/>
              <w:rPr/>
            </w:pPr>
            <w:r>
              <w:t xml:space="preserve">83,3</w:t>
            </w:r>
            <w:r/>
          </w:p>
        </w:tc>
        <w:tc>
          <w:tcPr>
            <w:tcBorders/>
            <w:tcW w:w="1828" w:type="dxa"/>
            <w:textDirection w:val="lrTb"/>
            <w:noWrap w:val="false"/>
          </w:tcPr>
          <w:p w14:paraId="7A5687FF">
            <w:pPr>
              <w:pBdr/>
              <w:spacing/>
              <w:ind/>
              <w:jc w:val="center"/>
              <w:rPr/>
            </w:pPr>
            <w:r>
              <w:t xml:space="preserve">83,3</w:t>
            </w:r>
            <w:r/>
          </w:p>
        </w:tc>
        <w:tc>
          <w:tcPr>
            <w:tcBorders/>
            <w:tcW w:w="2318" w:type="dxa"/>
            <w:textDirection w:val="lrTb"/>
            <w:noWrap w:val="false"/>
          </w:tcPr>
          <w:p w14:paraId="29F3899C">
            <w:pPr>
              <w:pBdr/>
              <w:spacing/>
              <w:ind/>
              <w:jc w:val="center"/>
              <w:rPr/>
            </w:pPr>
            <w:r>
              <w:t xml:space="preserve">208,6</w:t>
            </w:r>
            <w:r/>
          </w:p>
        </w:tc>
      </w:tr>
      <w:tr>
        <w:trPr>
          <w:trHeight w:val="530"/>
        </w:trPr>
        <w:tc>
          <w:tcPr>
            <w:tcBorders/>
            <w:tcW w:w="2121" w:type="dxa"/>
            <w:textDirection w:val="lrTb"/>
            <w:noWrap w:val="false"/>
          </w:tcPr>
          <w:p>
            <w:pPr>
              <w:pStyle w:val="975"/>
              <w:pBdr/>
              <w:spacing w:before="120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 xml:space="preserve">Освіта і </w:t>
            </w:r>
            <w:r>
              <w:rPr>
                <w:spacing w:val="-2"/>
                <w:sz w:val="24"/>
              </w:rPr>
              <w:t xml:space="preserve">наука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/>
            <w:tcW w:w="1828" w:type="dxa"/>
            <w:textDirection w:val="lrTb"/>
            <w:noWrap w:val="false"/>
          </w:tcPr>
          <w:p w14:paraId="16142874">
            <w:pPr>
              <w:pBdr/>
              <w:spacing/>
              <w:ind/>
              <w:jc w:val="center"/>
              <w:rPr/>
            </w:pPr>
            <w:r>
              <w:t xml:space="preserve">140,0</w:t>
            </w:r>
            <w:r/>
          </w:p>
        </w:tc>
        <w:tc>
          <w:tcPr>
            <w:tcBorders/>
            <w:tcW w:w="1828" w:type="dxa"/>
            <w:textDirection w:val="lrTb"/>
            <w:noWrap w:val="false"/>
          </w:tcPr>
          <w:p w14:paraId="2E50EA23">
            <w:pPr>
              <w:pBdr/>
              <w:spacing/>
              <w:ind/>
              <w:jc w:val="center"/>
              <w:rPr/>
            </w:pPr>
            <w:r>
              <w:t xml:space="preserve">83,4</w:t>
            </w:r>
            <w:r/>
          </w:p>
        </w:tc>
        <w:tc>
          <w:tcPr>
            <w:tcBorders/>
            <w:tcW w:w="1828" w:type="dxa"/>
            <w:textDirection w:val="lrTb"/>
            <w:noWrap w:val="false"/>
          </w:tcPr>
          <w:p w14:paraId="11551453">
            <w:pPr>
              <w:pBdr/>
              <w:spacing/>
              <w:ind/>
              <w:jc w:val="center"/>
              <w:rPr/>
            </w:pPr>
            <w:r>
              <w:t xml:space="preserve">83,4</w:t>
            </w:r>
            <w:r/>
          </w:p>
        </w:tc>
        <w:tc>
          <w:tcPr>
            <w:tcBorders/>
            <w:tcW w:w="2318" w:type="dxa"/>
            <w:textDirection w:val="lrTb"/>
            <w:noWrap w:val="false"/>
          </w:tcPr>
          <w:p w14:paraId="157E2D69">
            <w:pPr>
              <w:pBdr/>
              <w:spacing/>
              <w:ind/>
              <w:jc w:val="center"/>
              <w:rPr/>
            </w:pPr>
            <w:r>
              <w:t xml:space="preserve">306,8</w:t>
            </w:r>
            <w:r/>
          </w:p>
        </w:tc>
      </w:tr>
      <w:tr>
        <w:trPr>
          <w:trHeight w:val="515"/>
        </w:trPr>
        <w:tc>
          <w:tcPr>
            <w:tcBorders/>
            <w:tcW w:w="2121" w:type="dxa"/>
            <w:textDirection w:val="lrTb"/>
            <w:noWrap w:val="false"/>
          </w:tcPr>
          <w:p>
            <w:pPr>
              <w:pStyle w:val="975"/>
              <w:pBdr/>
              <w:spacing w:before="120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 xml:space="preserve">Охорона </w:t>
            </w:r>
            <w:r>
              <w:rPr>
                <w:spacing w:val="-2"/>
                <w:sz w:val="24"/>
              </w:rPr>
              <w:t xml:space="preserve">здоров'я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/>
            <w:tcW w:w="1828" w:type="dxa"/>
            <w:textDirection w:val="lrTb"/>
            <w:noWrap w:val="false"/>
          </w:tcPr>
          <w:p w14:paraId="407016B5">
            <w:pPr>
              <w:pBdr/>
              <w:spacing/>
              <w:ind/>
              <w:jc w:val="center"/>
              <w:rPr/>
            </w:pPr>
            <w:r>
              <w:t xml:space="preserve">43,0</w:t>
            </w:r>
            <w:r/>
          </w:p>
        </w:tc>
        <w:tc>
          <w:tcPr>
            <w:tcBorders/>
            <w:tcW w:w="1828" w:type="dxa"/>
            <w:textDirection w:val="lrTb"/>
            <w:noWrap w:val="false"/>
          </w:tcPr>
          <w:p w14:paraId="72C4E04F">
            <w:pPr>
              <w:pBdr/>
              <w:spacing/>
              <w:ind/>
              <w:jc w:val="center"/>
              <w:rPr/>
            </w:pPr>
            <w:r>
              <w:t xml:space="preserve">83,3</w:t>
            </w:r>
            <w:r/>
          </w:p>
        </w:tc>
        <w:tc>
          <w:tcPr>
            <w:tcBorders/>
            <w:tcW w:w="1828" w:type="dxa"/>
            <w:textDirection w:val="lrTb"/>
            <w:noWrap w:val="false"/>
          </w:tcPr>
          <w:p w14:paraId="1771DED6">
            <w:pPr>
              <w:pBdr/>
              <w:spacing/>
              <w:ind/>
              <w:jc w:val="center"/>
              <w:rPr/>
            </w:pPr>
            <w:r>
              <w:t xml:space="preserve">83,3</w:t>
            </w:r>
            <w:r/>
          </w:p>
        </w:tc>
        <w:tc>
          <w:tcPr>
            <w:tcBorders/>
            <w:tcW w:w="2318" w:type="dxa"/>
            <w:textDirection w:val="lrTb"/>
            <w:noWrap w:val="false"/>
          </w:tcPr>
          <w:p w14:paraId="3D2DEF91">
            <w:pPr>
              <w:pBdr/>
              <w:spacing/>
              <w:ind/>
              <w:jc w:val="center"/>
              <w:rPr/>
            </w:pPr>
            <w:r>
              <w:t xml:space="preserve">209,6</w:t>
            </w:r>
            <w:r/>
          </w:p>
        </w:tc>
      </w:tr>
      <w:tr>
        <w:trPr>
          <w:trHeight w:val="515"/>
        </w:trPr>
        <w:tc>
          <w:tcPr>
            <w:tcBorders/>
            <w:tcW w:w="2121" w:type="dxa"/>
            <w:textDirection w:val="lrTb"/>
            <w:noWrap w:val="false"/>
          </w:tcPr>
          <w:p>
            <w:pPr>
              <w:pStyle w:val="975"/>
              <w:pBdr/>
              <w:spacing w:before="120"/>
              <w:ind w:left="108"/>
              <w:jc w:val="left"/>
              <w:rPr>
                <w:sz w:val="24"/>
              </w:rPr>
            </w:pPr>
            <w:r>
              <w:rPr>
                <w:sz w:val="24"/>
              </w:rPr>
              <w:t xml:space="preserve">Соціальна </w:t>
            </w:r>
            <w:r>
              <w:rPr>
                <w:spacing w:val="-2"/>
                <w:sz w:val="24"/>
              </w:rPr>
              <w:t xml:space="preserve">сфера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/>
            <w:tcW w:w="1828" w:type="dxa"/>
            <w:textDirection w:val="lrTb"/>
            <w:noWrap w:val="false"/>
          </w:tcPr>
          <w:p w14:paraId="4C7D9EEC">
            <w:pPr>
              <w:pBdr/>
              <w:spacing/>
              <w:ind/>
              <w:jc w:val="center"/>
              <w:rPr/>
            </w:pPr>
            <w:r>
              <w:t xml:space="preserve">140,0</w:t>
            </w:r>
            <w:r/>
          </w:p>
        </w:tc>
        <w:tc>
          <w:tcPr>
            <w:tcBorders/>
            <w:tcW w:w="1828" w:type="dxa"/>
            <w:textDirection w:val="lrTb"/>
            <w:noWrap w:val="false"/>
          </w:tcPr>
          <w:p w14:paraId="1D3B9AD8">
            <w:pPr>
              <w:pBdr/>
              <w:spacing/>
              <w:ind/>
              <w:jc w:val="center"/>
              <w:rPr/>
            </w:pPr>
            <w:r>
              <w:t xml:space="preserve">83,3</w:t>
            </w:r>
            <w:r/>
          </w:p>
        </w:tc>
        <w:tc>
          <w:tcPr>
            <w:tcBorders/>
            <w:tcW w:w="1828" w:type="dxa"/>
            <w:textDirection w:val="lrTb"/>
            <w:noWrap w:val="false"/>
          </w:tcPr>
          <w:p w14:paraId="09D29082">
            <w:pPr>
              <w:pBdr/>
              <w:spacing/>
              <w:ind/>
              <w:jc w:val="center"/>
              <w:rPr/>
            </w:pPr>
            <w:r>
              <w:t xml:space="preserve">83,3</w:t>
            </w:r>
            <w:r/>
          </w:p>
        </w:tc>
        <w:tc>
          <w:tcPr>
            <w:tcBorders/>
            <w:tcW w:w="2318" w:type="dxa"/>
            <w:textDirection w:val="lrTb"/>
            <w:noWrap w:val="false"/>
          </w:tcPr>
          <w:p w14:paraId="26E9C904">
            <w:pPr>
              <w:pBdr/>
              <w:spacing/>
              <w:ind/>
              <w:jc w:val="center"/>
              <w:rPr/>
            </w:pPr>
            <w:r>
              <w:t xml:space="preserve">306,6</w:t>
            </w:r>
            <w:r/>
          </w:p>
        </w:tc>
      </w:tr>
      <w:tr>
        <w:trPr>
          <w:trHeight w:val="791"/>
        </w:trPr>
        <w:tc>
          <w:tcPr>
            <w:tcBorders/>
            <w:tcW w:w="2121" w:type="dxa"/>
            <w:textDirection w:val="lrTb"/>
            <w:noWrap w:val="false"/>
          </w:tcPr>
          <w:p>
            <w:pPr>
              <w:pStyle w:val="975"/>
              <w:pBdr/>
              <w:spacing w:before="120"/>
              <w:ind w:right="848" w:left="108"/>
              <w:jc w:val="lef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Загальний результат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Borders/>
            <w:tcW w:w="1828" w:type="dxa"/>
            <w:textDirection w:val="lrTb"/>
            <w:noWrap w:val="false"/>
          </w:tcPr>
          <w:p w14:paraId="5943BC8C">
            <w:pPr>
              <w:pBdr/>
              <w:spacing/>
              <w:ind/>
              <w:jc w:val="center"/>
              <w:rPr/>
            </w:pPr>
            <w:r>
              <w:t xml:space="preserve">1000,0</w:t>
            </w:r>
            <w:r/>
          </w:p>
        </w:tc>
        <w:tc>
          <w:tcPr>
            <w:tcBorders/>
            <w:tcW w:w="1828" w:type="dxa"/>
            <w:textDirection w:val="lrTb"/>
            <w:noWrap w:val="false"/>
          </w:tcPr>
          <w:p w14:paraId="3B0A5489">
            <w:pPr>
              <w:pBdr/>
              <w:spacing/>
              <w:ind/>
              <w:jc w:val="center"/>
              <w:rPr/>
            </w:pPr>
            <w:r>
              <w:t xml:space="preserve">1000,0</w:t>
            </w:r>
            <w:r/>
          </w:p>
        </w:tc>
        <w:tc>
          <w:tcPr>
            <w:tcBorders/>
            <w:tcW w:w="1828" w:type="dxa"/>
            <w:textDirection w:val="lrTb"/>
            <w:noWrap w:val="false"/>
          </w:tcPr>
          <w:p w14:paraId="4D7BCF5E">
            <w:pPr>
              <w:pBdr/>
              <w:spacing/>
              <w:ind/>
              <w:jc w:val="center"/>
              <w:rPr/>
            </w:pPr>
            <w:r>
              <w:t xml:space="preserve">1000,0</w:t>
            </w:r>
            <w:r/>
          </w:p>
        </w:tc>
        <w:tc>
          <w:tcPr>
            <w:tcBorders/>
            <w:tcW w:w="2318" w:type="dxa"/>
            <w:textDirection w:val="lrTb"/>
            <w:noWrap w:val="false"/>
          </w:tcPr>
          <w:p w14:paraId="2573AEA6">
            <w:pPr>
              <w:pBdr/>
              <w:spacing/>
              <w:ind/>
              <w:jc w:val="center"/>
              <w:rPr/>
            </w:pPr>
            <w:r>
              <w:t xml:space="preserve">3000,0</w:t>
            </w:r>
            <w:r/>
          </w:p>
        </w:tc>
      </w:tr>
    </w:tbl>
    <w:p>
      <w:pPr>
        <w:pStyle w:val="973"/>
        <w:pBdr/>
        <w:spacing/>
        <w:ind w:left="0"/>
        <w:jc w:val="left"/>
        <w:rPr/>
      </w:pPr>
      <w:r/>
      <w:r/>
    </w:p>
    <w:p>
      <w:pPr>
        <w:pStyle w:val="973"/>
        <w:pBdr/>
        <w:spacing w:before="32"/>
        <w:ind w:left="0"/>
        <w:jc w:val="left"/>
        <w:rPr/>
      </w:pPr>
      <w:r/>
      <w:r/>
    </w:p>
    <w:p>
      <w:pPr>
        <w:pBdr/>
        <w:spacing w:before="0"/>
        <w:ind w:right="16" w:firstLine="0" w:left="564"/>
        <w:jc w:val="center"/>
        <w:rPr>
          <w:i/>
          <w:sz w:val="28"/>
        </w:rPr>
      </w:pPr>
      <w:r>
        <w:rPr>
          <w:i/>
          <w:sz w:val="28"/>
        </w:rPr>
        <w:t xml:space="preserve">Підсу</w:t>
      </w:r>
      <w:r>
        <w:rPr>
          <w:i/>
          <w:sz w:val="28"/>
        </w:rPr>
        <w:t xml:space="preserve">мки та </w:t>
      </w:r>
      <w:r>
        <w:rPr>
          <w:i/>
          <w:spacing w:val="-2"/>
          <w:sz w:val="28"/>
        </w:rPr>
        <w:t xml:space="preserve">перспективи</w:t>
      </w:r>
      <w:r>
        <w:rPr>
          <w:i/>
          <w:sz w:val="28"/>
        </w:rPr>
      </w:r>
      <w:r>
        <w:rPr>
          <w:i/>
          <w:sz w:val="28"/>
        </w:rPr>
      </w:r>
    </w:p>
    <w:p>
      <w:pPr>
        <w:pStyle w:val="973"/>
        <w:pBdr/>
        <w:spacing w:before="240"/>
        <w:ind w:left="0"/>
        <w:jc w:val="left"/>
        <w:rPr>
          <w:i/>
        </w:rPr>
      </w:pPr>
      <w:r>
        <w:rPr>
          <w:i/>
        </w:rPr>
      </w:r>
      <w:r>
        <w:rPr>
          <w:i/>
        </w:rPr>
      </w:r>
      <w:r>
        <w:rPr>
          <w:i/>
        </w:rPr>
      </w:r>
    </w:p>
    <w:p>
      <w:pPr>
        <w:pStyle w:val="973"/>
        <w:pBdr/>
        <w:spacing w:line="276" w:lineRule="auto"/>
        <w:ind w:right="0" w:firstLine="708" w:left="143"/>
        <w:rPr/>
      </w:pPr>
      <w:r>
        <w:t xml:space="preserve">Середньостроковий план пріоритетних публічних інвестицій громади на 2027–2029 роки є ключовим інструментом реалізації державної політики у</w:t>
      </w:r>
      <w:r>
        <w:rPr>
          <w:spacing w:val="40"/>
        </w:rPr>
        <w:t xml:space="preserve"> </w:t>
      </w:r>
      <w:r>
        <w:t xml:space="preserve">сфері управління публічними інвестиціями, спрямованим на забезпечення відновлення, модернізації та сталого розвитку в умовах воєнних викликів і післявоєнної трансформації.</w:t>
      </w:r>
      <w:r/>
    </w:p>
    <w:p>
      <w:pPr>
        <w:pStyle w:val="973"/>
        <w:pBdr/>
        <w:spacing w:before="240" w:line="276" w:lineRule="auto"/>
        <w:ind w:right="0" w:firstLine="708" w:left="143"/>
        <w:rPr/>
      </w:pPr>
      <w:r>
        <w:t xml:space="preserve">СПІ 2027–2029 створює основу для підвищення довіри міжнародних партнерів та приватних інвесторів завдяки визначенню чітких пріоритетів, прогнозованості та прозорості процесів планування і реалізації публічних інвестицій на рівні громади.</w:t>
      </w:r>
      <w:r/>
    </w:p>
    <w:p>
      <w:pPr>
        <w:pStyle w:val="973"/>
        <w:pBdr/>
        <w:spacing w:before="240" w:line="276" w:lineRule="auto"/>
        <w:ind w:right="0" w:firstLine="708" w:left="143"/>
        <w:rPr/>
      </w:pPr>
      <w:r>
        <w:t xml:space="preserve">Це сприятиме ефективному залученню міжнародного фінансування, ресурсів</w:t>
      </w:r>
      <w:r>
        <w:rPr>
          <w:spacing w:val="69"/>
        </w:rPr>
        <w:t xml:space="preserve">  </w:t>
      </w:r>
      <w:r>
        <w:t xml:space="preserve">міжнародних</w:t>
      </w:r>
      <w:r>
        <w:rPr>
          <w:spacing w:val="71"/>
        </w:rPr>
        <w:t xml:space="preserve">  </w:t>
      </w:r>
      <w:r>
        <w:t xml:space="preserve">фінансових</w:t>
      </w:r>
      <w:r>
        <w:rPr>
          <w:spacing w:val="71"/>
        </w:rPr>
        <w:t xml:space="preserve">  </w:t>
      </w:r>
      <w:r>
        <w:t xml:space="preserve">організацій</w:t>
      </w:r>
      <w:r>
        <w:rPr>
          <w:spacing w:val="71"/>
        </w:rPr>
        <w:t xml:space="preserve">  </w:t>
      </w:r>
      <w:r>
        <w:t xml:space="preserve">та</w:t>
      </w:r>
      <w:r>
        <w:rPr>
          <w:spacing w:val="71"/>
        </w:rPr>
        <w:t xml:space="preserve">  </w:t>
      </w:r>
      <w:r>
        <w:t xml:space="preserve">розвитку</w:t>
      </w:r>
      <w:r>
        <w:rPr>
          <w:spacing w:val="71"/>
        </w:rPr>
        <w:t xml:space="preserve">  </w:t>
      </w:r>
      <w:r>
        <w:rPr>
          <w:spacing w:val="-2"/>
        </w:rPr>
        <w:t xml:space="preserve">механізмів</w:t>
      </w:r>
      <w:r>
        <w:t xml:space="preserve">державно-приватного партнерства для реалізації проектів та програм, що матимуть найбільший вплив на економічну стійкість громади, безпеку населення та підвищення якості життя </w:t>
      </w:r>
      <w:r>
        <w:rPr>
          <w:spacing w:val="-2"/>
        </w:rPr>
        <w:t xml:space="preserve">громадян.</w:t>
      </w:r>
      <w:r/>
    </w:p>
    <w:p>
      <w:pPr>
        <w:pStyle w:val="973"/>
        <w:pBdr/>
        <w:spacing w:before="240" w:line="276" w:lineRule="auto"/>
        <w:ind w:right="0" w:firstLine="708" w:left="143"/>
        <w:rPr/>
      </w:pPr>
      <w:r>
        <w:t xml:space="preserve">Важливо зазначити, що лише ті проекти та програми, що відповідають основним напрямам публічного інвестування, визначеним в СПІ 2027-</w:t>
      </w:r>
      <w:r>
        <w:t xml:space="preserve">2029 можуть бути включені в Єдиний проектний портфель публічних інвестицій держави та, відповідно, зможуть отримати фінансування за рахунок коштів державного бюджету та/або з наданням державної підтримки.</w:t>
      </w:r>
      <w:r/>
    </w:p>
    <w:p>
      <w:pPr>
        <w:pStyle w:val="973"/>
        <w:pBdr/>
        <w:spacing w:before="240" w:line="276" w:lineRule="auto"/>
        <w:ind w:right="286" w:firstLine="708"/>
        <w:rPr/>
      </w:pPr>
      <w:r>
        <w:rPr>
          <w:spacing w:val="-2"/>
        </w:rPr>
      </w:r>
      <w:r/>
    </w:p>
    <w:p>
      <w:pPr>
        <w:pStyle w:val="973"/>
        <w:pBdr/>
        <w:spacing w:after="0" w:line="276" w:lineRule="auto"/>
        <w:ind/>
        <w:rPr/>
        <w:sectPr>
          <w:footerReference w:type="default" r:id="rId9"/>
          <w:footnotePr/>
          <w:endnotePr/>
          <w:type w:val="nextPage"/>
          <w:pgSz w:h="16840" w:orient="portrait" w:w="11910"/>
          <w:pgMar w:top="1220" w:right="714" w:bottom="1200" w:left="1700" w:header="0" w:footer="1002" w:gutter="0"/>
          <w:cols w:num="1" w:sep="0" w:space="1701" w:equalWidth="1"/>
        </w:sectPr>
      </w:pPr>
      <w:r/>
      <w:r/>
    </w:p>
    <w:p>
      <w:pPr>
        <w:pStyle w:val="973"/>
        <w:pBdr/>
        <w:spacing w:after="1" w:before="93"/>
        <w:ind w:left="0"/>
        <w:jc w:val="left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tbl>
      <w:tblPr>
        <w:tblInd w:w="83" w:type="dxa"/>
        <w:tblW w:w="0" w:type="auto"/>
        <w:tblCellMar>
          <w:left w:w="0" w:type="dxa"/>
          <w:top w:w="0" w:type="dxa"/>
          <w:right w:w="0" w:type="dxa"/>
          <w:bottom w:w="0" w:type="dxa"/>
        </w:tblCellMar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Look w:val="01E0" w:firstRow="1" w:lastRow="1" w:firstColumn="1" w:lastColumn="1" w:noHBand="0" w:noVBand="0"/>
      </w:tblPr>
      <w:tblGrid>
        <w:gridCol w:w="2100"/>
        <w:gridCol w:w="3180"/>
        <w:gridCol w:w="4335"/>
        <w:gridCol w:w="1215"/>
        <w:gridCol w:w="1320"/>
        <w:gridCol w:w="1365"/>
        <w:gridCol w:w="1200"/>
      </w:tblGrid>
      <w:tr>
        <w:trPr>
          <w:trHeight w:val="870"/>
        </w:trPr>
        <w:tc>
          <w:tcPr>
            <w:gridSpan w:val="7"/>
            <w:tcBorders>
              <w:left w:val="single" w:color="cccccc" w:sz="8" w:space="0"/>
            </w:tcBorders>
            <w:tcW w:w="14715" w:type="dxa"/>
            <w:textDirection w:val="lrTb"/>
            <w:noWrap w:val="false"/>
          </w:tcPr>
          <w:p w14:paraId="16700808">
            <w:pPr>
              <w:pStyle w:val="975"/>
              <w:pBdr/>
              <w:spacing/>
              <w:ind w:right="117" w:firstLine="0" w:left="40"/>
              <w:jc w:val="right"/>
              <w:rPr>
                <w:b w:val="0"/>
                <w:bCs w:val="0"/>
                <w:sz w:val="28"/>
                <w:szCs w:val="28"/>
              </w:rPr>
            </w:pPr>
            <w:r>
              <w:rPr>
                <w:b/>
                <w:sz w:val="28"/>
                <w:szCs w:val="28"/>
                <w:highlight w:val="none"/>
              </w:rPr>
              <w:t xml:space="preserve">  </w:t>
            </w:r>
            <w:r>
              <w:rPr>
                <w:b w:val="0"/>
                <w:bCs w:val="0"/>
                <w:sz w:val="28"/>
                <w:szCs w:val="28"/>
                <w:highlight w:val="none"/>
              </w:rPr>
              <w:t xml:space="preserve">Додаток 1</w:t>
            </w:r>
            <w:r>
              <w:rPr>
                <w:b w:val="0"/>
                <w:bCs w:val="0"/>
                <w:sz w:val="28"/>
                <w:szCs w:val="28"/>
              </w:rPr>
            </w:r>
            <w:r>
              <w:rPr>
                <w:b w:val="0"/>
                <w:bCs w:val="0"/>
                <w:sz w:val="28"/>
                <w:szCs w:val="28"/>
              </w:rPr>
            </w:r>
          </w:p>
          <w:p>
            <w:pPr>
              <w:pStyle w:val="975"/>
              <w:pBdr/>
              <w:spacing/>
              <w:ind w:right="117" w:firstLine="0" w:left="40"/>
              <w:jc w:val="left"/>
              <w:rPr>
                <w:b/>
                <w:bCs/>
                <w:sz w:val="24"/>
                <w:szCs w:val="24"/>
                <w:highlight w:val="none"/>
              </w:rPr>
            </w:pPr>
            <w:r>
              <w:rPr>
                <w:sz w:val="24"/>
              </w:rPr>
              <w:t xml:space="preserve">Пріоритетна галузь (сектор) для публічного інвестування – </w:t>
            </w:r>
            <w:r>
              <w:rPr>
                <w:b/>
                <w:sz w:val="24"/>
              </w:rPr>
              <w:t xml:space="preserve">Культура та інформація </w:t>
            </w:r>
            <w:r>
              <w:rPr>
                <w:b/>
                <w:bCs/>
                <w:sz w:val="24"/>
                <w:szCs w:val="24"/>
                <w:highlight w:val="none"/>
              </w:rPr>
            </w:r>
            <w:r>
              <w:rPr>
                <w:b/>
                <w:bCs/>
                <w:sz w:val="24"/>
                <w:szCs w:val="24"/>
                <w:highlight w:val="none"/>
              </w:rPr>
            </w:r>
          </w:p>
          <w:p w14:paraId="15CFF8C9">
            <w:pPr>
              <w:pStyle w:val="973"/>
              <w:pBdr/>
              <w:spacing w:before="26" w:line="256" w:lineRule="auto"/>
              <w:ind w:right="0" w:firstLine="0" w:left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Структурний підрозділ,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відповідальний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за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галузь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(сектор)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для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публічного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інвестування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–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hyperlink r:id="rId12" w:tooltip="https://krasnograd-rada.gov.ua/struktura-mr/viddil-sport/" w:history="1">
              <w:r>
                <w:rPr>
                  <w:rStyle w:val="941"/>
                  <w:b w:val="0"/>
                  <w:sz w:val="24"/>
                  <w:szCs w:val="24"/>
                  <w:shd w:val="clear" w:color="auto" w:fill="ffffff"/>
                </w:rPr>
                <w:t xml:space="preserve">Відділ культури, туризму, молоді та спорту </w:t>
              </w:r>
            </w:hyperlink>
            <w:r>
              <w:rPr>
                <w:b w:val="0"/>
                <w:bCs w:val="0"/>
                <w:sz w:val="24"/>
                <w:szCs w:val="24"/>
              </w:rPr>
              <w:t xml:space="preserve">Берестинської міської ради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pStyle w:val="975"/>
              <w:pBdr/>
              <w:spacing/>
              <w:ind w:left="40"/>
              <w:jc w:val="left"/>
              <w:rPr>
                <w:b/>
                <w:bCs/>
                <w:spacing w:val="-4"/>
                <w:sz w:val="24"/>
                <w:szCs w:val="24"/>
                <w:highlight w:val="none"/>
              </w:rPr>
            </w:pPr>
            <w:r>
              <w:rPr>
                <w:sz w:val="24"/>
              </w:rPr>
              <w:t xml:space="preserve">Граничний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сукупний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обсяг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публічних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інвестицій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середньостроковий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період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галузь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(сектор)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–</w:t>
            </w:r>
            <w:r>
              <w:rPr>
                <w:spacing w:val="-3"/>
                <w:sz w:val="24"/>
              </w:rPr>
              <w:t xml:space="preserve">  </w:t>
            </w:r>
            <w:r>
              <w:rPr>
                <w:b/>
                <w:sz w:val="24"/>
              </w:rPr>
              <w:t xml:space="preserve"> 209,6  тис.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 xml:space="preserve">грн.</w:t>
            </w:r>
            <w:r>
              <w:rPr>
                <w:b/>
                <w:bCs/>
                <w:spacing w:val="-4"/>
                <w:sz w:val="24"/>
                <w:szCs w:val="24"/>
                <w:highlight w:val="none"/>
              </w:rPr>
            </w:r>
            <w:r>
              <w:rPr>
                <w:b/>
                <w:bCs/>
                <w:spacing w:val="-4"/>
                <w:sz w:val="24"/>
                <w:szCs w:val="24"/>
                <w:highlight w:val="none"/>
              </w:rPr>
            </w:r>
          </w:p>
          <w:p w14:paraId="45B98ED8">
            <w:pPr>
              <w:pStyle w:val="975"/>
              <w:pBdr/>
              <w:spacing/>
              <w:ind w:left="4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spacing w:val="-4"/>
                <w:sz w:val="24"/>
                <w:highlight w:val="none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>
          <w:trHeight w:val="1840"/>
        </w:trPr>
        <w:tc>
          <w:tcPr>
            <w:tcBorders>
              <w:left w:val="single" w:color="cccccc" w:sz="8" w:space="0"/>
            </w:tcBorders>
            <w:tcW w:w="2100" w:type="dxa"/>
            <w:textDirection w:val="lrTb"/>
            <w:noWrap w:val="false"/>
          </w:tcPr>
          <w:p>
            <w:pPr>
              <w:pStyle w:val="975"/>
              <w:pBdr/>
              <w:spacing w:before="100"/>
              <w:ind w:right="8" w:left="30"/>
              <w:rPr>
                <w:sz w:val="24"/>
              </w:rPr>
            </w:pPr>
            <w:r>
              <w:rPr>
                <w:sz w:val="24"/>
              </w:rPr>
              <w:t xml:space="preserve">Підсектор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галузі (сектору) для </w:t>
            </w:r>
            <w:r>
              <w:rPr>
                <w:spacing w:val="-2"/>
                <w:sz w:val="24"/>
              </w:rPr>
              <w:t xml:space="preserve">публічного інвестування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/>
            <w:tcW w:w="3180" w:type="dxa"/>
            <w:textDirection w:val="lrTb"/>
            <w:noWrap w:val="false"/>
          </w:tcPr>
          <w:p>
            <w:pPr>
              <w:pStyle w:val="975"/>
              <w:pBdr/>
              <w:spacing w:before="100"/>
              <w:ind w:hanging="852" w:left="923"/>
              <w:jc w:val="left"/>
              <w:rPr>
                <w:sz w:val="24"/>
              </w:rPr>
            </w:pPr>
            <w:r>
              <w:rPr>
                <w:sz w:val="24"/>
              </w:rPr>
              <w:t xml:space="preserve">Основний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напрям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публічного </w:t>
            </w:r>
            <w:r>
              <w:rPr>
                <w:spacing w:val="-2"/>
                <w:sz w:val="24"/>
              </w:rPr>
              <w:t xml:space="preserve">інвестування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/>
            <w:tcW w:w="4335" w:type="dxa"/>
            <w:textDirection w:val="lrTb"/>
            <w:noWrap w:val="false"/>
          </w:tcPr>
          <w:p>
            <w:pPr>
              <w:pStyle w:val="975"/>
              <w:pBdr/>
              <w:spacing w:before="100"/>
              <w:ind w:right="863" w:hanging="756" w:left="1644"/>
              <w:jc w:val="left"/>
              <w:rPr>
                <w:sz w:val="24"/>
              </w:rPr>
            </w:pPr>
            <w:r>
              <w:rPr>
                <w:sz w:val="24"/>
              </w:rPr>
              <w:t xml:space="preserve">Найменування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цільового </w:t>
            </w:r>
            <w:r>
              <w:rPr>
                <w:spacing w:val="-2"/>
                <w:sz w:val="24"/>
              </w:rPr>
              <w:t xml:space="preserve">показника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/>
            <w:tcW w:w="1215" w:type="dxa"/>
            <w:textDirection w:val="lrTb"/>
            <w:noWrap w:val="false"/>
          </w:tcPr>
          <w:p>
            <w:pPr>
              <w:pStyle w:val="975"/>
              <w:pBdr/>
              <w:spacing w:before="100"/>
              <w:ind w:right="57" w:left="7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Базове значення </w:t>
            </w:r>
            <w:r>
              <w:rPr>
                <w:spacing w:val="-4"/>
                <w:sz w:val="24"/>
              </w:rPr>
              <w:t xml:space="preserve">(%)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/>
            <w:tcW w:w="1320" w:type="dxa"/>
            <w:textDirection w:val="lrTb"/>
            <w:noWrap w:val="false"/>
          </w:tcPr>
          <w:p>
            <w:pPr>
              <w:pStyle w:val="975"/>
              <w:pBdr/>
              <w:spacing w:before="100"/>
              <w:ind w:right="25" w:firstLine="175" w:left="50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Планове </w:t>
            </w:r>
            <w:r>
              <w:rPr>
                <w:sz w:val="24"/>
              </w:rPr>
              <w:t xml:space="preserve">значення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2027 р.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 xml:space="preserve">(%)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/>
            <w:tcW w:w="1365" w:type="dxa"/>
            <w:textDirection w:val="lrTb"/>
            <w:noWrap w:val="false"/>
          </w:tcPr>
          <w:p>
            <w:pPr>
              <w:pStyle w:val="975"/>
              <w:pBdr/>
              <w:spacing w:before="100"/>
              <w:ind w:right="48" w:firstLine="175" w:left="72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Планове </w:t>
            </w:r>
            <w:r>
              <w:rPr>
                <w:sz w:val="24"/>
              </w:rPr>
              <w:t xml:space="preserve">значення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 2028 р.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 xml:space="preserve">(%)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/>
            <w:tcW w:w="1200" w:type="dxa"/>
            <w:textDirection w:val="lrTb"/>
            <w:noWrap w:val="false"/>
          </w:tcPr>
          <w:p>
            <w:pPr>
              <w:pStyle w:val="975"/>
              <w:pBdr/>
              <w:spacing w:before="100"/>
              <w:ind w:right="37" w:left="5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Планове значення </w:t>
            </w:r>
            <w:r>
              <w:rPr>
                <w:sz w:val="24"/>
              </w:rPr>
              <w:t xml:space="preserve">на 2029 </w:t>
            </w:r>
            <w:r>
              <w:rPr>
                <w:spacing w:val="-4"/>
                <w:sz w:val="24"/>
              </w:rPr>
              <w:t xml:space="preserve">(%)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rPr>
          <w:trHeight w:val="1103"/>
        </w:trPr>
        <w:tc>
          <w:tcPr>
            <w:tcBorders>
              <w:left w:val="single" w:color="cccccc" w:sz="8" w:space="0"/>
            </w:tcBorders>
            <w:tcW w:w="2100" w:type="dxa"/>
            <w:vMerge w:val="restart"/>
            <w:textDirection w:val="lrTb"/>
            <w:noWrap w:val="false"/>
          </w:tcPr>
          <w:p>
            <w:pPr>
              <w:pStyle w:val="975"/>
              <w:pBdr/>
              <w:spacing/>
              <w:ind w:right="386" w:hanging="1" w:left="40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Культурна </w:t>
            </w:r>
            <w:r>
              <w:rPr>
                <w:sz w:val="24"/>
              </w:rPr>
              <w:t xml:space="preserve">спадщина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та </w:t>
            </w:r>
            <w:r>
              <w:rPr>
                <w:spacing w:val="-2"/>
                <w:sz w:val="24"/>
              </w:rPr>
              <w:t xml:space="preserve">національна пам’ять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/>
            <w:tcW w:w="3180" w:type="dxa"/>
            <w:vMerge w:val="restart"/>
            <w:textDirection w:val="lrTb"/>
            <w:noWrap w:val="false"/>
          </w:tcPr>
          <w:p>
            <w:pPr>
              <w:pStyle w:val="975"/>
              <w:pBdr/>
              <w:spacing/>
              <w:ind w:right="93" w:hanging="1" w:left="116"/>
              <w:rPr>
                <w:sz w:val="24"/>
              </w:rPr>
            </w:pPr>
            <w:r>
              <w:rPr>
                <w:sz w:val="24"/>
              </w:rPr>
              <w:t xml:space="preserve">Забезпечення збереження культурної спадщини громади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шляхом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проведення </w:t>
            </w:r>
            <w:r>
              <w:rPr>
                <w:spacing w:val="-2"/>
                <w:sz w:val="24"/>
              </w:rPr>
              <w:t xml:space="preserve">ремонтно-реставраційних </w:t>
            </w:r>
            <w:r>
              <w:rPr>
                <w:sz w:val="24"/>
              </w:rPr>
              <w:t xml:space="preserve">робіт, реставрації об'єктів культурної спадщини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/>
            <w:tcW w:w="4335" w:type="dxa"/>
            <w:textDirection w:val="lrTb"/>
            <w:noWrap w:val="false"/>
          </w:tcPr>
          <w:p>
            <w:pPr>
              <w:pStyle w:val="975"/>
              <w:pBdr/>
              <w:spacing w:line="270" w:lineRule="atLeast"/>
              <w:ind w:right="65" w:hanging="1" w:left="87"/>
              <w:rPr>
                <w:sz w:val="24"/>
              </w:rPr>
            </w:pPr>
            <w:r>
              <w:rPr>
                <w:sz w:val="24"/>
              </w:rPr>
              <w:t xml:space="preserve">Рівень забезпечення збереження пам’яток культурної спадщини шляхом проведення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ремонтно-реставраційних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та реставраційних робіт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/>
            <w:tcW w:w="1215" w:type="dxa"/>
            <w:textDirection w:val="lrTb"/>
            <w:noWrap w:val="false"/>
          </w:tcPr>
          <w:p>
            <w:pPr>
              <w:pStyle w:val="975"/>
              <w:pBdr/>
              <w:spacing/>
              <w:ind w:right="60" w:left="79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/>
            <w:tcW w:w="1320" w:type="dxa"/>
            <w:textDirection w:val="lrTb"/>
            <w:noWrap w:val="false"/>
          </w:tcPr>
          <w:p>
            <w:pPr>
              <w:pStyle w:val="975"/>
              <w:pBdr/>
              <w:spacing/>
              <w:ind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34%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/>
            <w:tcW w:w="1365" w:type="dxa"/>
            <w:textDirection w:val="lrTb"/>
            <w:noWrap w:val="false"/>
          </w:tcPr>
          <w:p>
            <w:pPr>
              <w:pStyle w:val="975"/>
              <w:pBdr/>
              <w:spacing/>
              <w:ind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55%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/>
            <w:tcW w:w="1200" w:type="dxa"/>
            <w:textDirection w:val="lrTb"/>
            <w:noWrap w:val="false"/>
          </w:tcPr>
          <w:p>
            <w:pPr>
              <w:pStyle w:val="975"/>
              <w:pBdr/>
              <w:spacing/>
              <w:ind w:right="40" w:left="59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80%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rPr>
          <w:trHeight w:val="675"/>
        </w:trPr>
        <w:tc>
          <w:tcPr>
            <w:tcBorders>
              <w:top w:val="none" w:color="000000" w:sz="4" w:space="0"/>
              <w:left w:val="single" w:color="cccccc" w:sz="8" w:space="0"/>
            </w:tcBorders>
            <w:tcW w:w="2100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3180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/>
            <w:tcW w:w="4335" w:type="dxa"/>
            <w:textDirection w:val="lrTb"/>
            <w:noWrap w:val="false"/>
          </w:tcPr>
          <w:p>
            <w:pPr>
              <w:pStyle w:val="975"/>
              <w:pBdr/>
              <w:spacing/>
              <w:ind w:right="22" w:hanging="358" w:left="443"/>
              <w:jc w:val="left"/>
              <w:rPr>
                <w:sz w:val="24"/>
              </w:rPr>
            </w:pPr>
            <w:r>
              <w:rPr>
                <w:sz w:val="24"/>
              </w:rPr>
              <w:t xml:space="preserve">Рівень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впровадження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безпекових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систем на об’єктах культурної спадщини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/>
            <w:tcW w:w="1215" w:type="dxa"/>
            <w:textDirection w:val="lrTb"/>
            <w:noWrap w:val="false"/>
          </w:tcPr>
          <w:p>
            <w:pPr>
              <w:pStyle w:val="975"/>
              <w:pBdr/>
              <w:spacing/>
              <w:ind w:right="60" w:left="79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/>
            <w:tcW w:w="1320" w:type="dxa"/>
            <w:textDirection w:val="lrTb"/>
            <w:noWrap w:val="false"/>
          </w:tcPr>
          <w:p>
            <w:pPr>
              <w:pStyle w:val="975"/>
              <w:pBdr/>
              <w:spacing/>
              <w:ind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34%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/>
            <w:tcW w:w="1365" w:type="dxa"/>
            <w:textDirection w:val="lrTb"/>
            <w:noWrap w:val="false"/>
          </w:tcPr>
          <w:p>
            <w:pPr>
              <w:pStyle w:val="975"/>
              <w:pBdr/>
              <w:spacing/>
              <w:ind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51%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/>
            <w:tcW w:w="1200" w:type="dxa"/>
            <w:textDirection w:val="lrTb"/>
            <w:noWrap w:val="false"/>
          </w:tcPr>
          <w:p>
            <w:pPr>
              <w:pStyle w:val="975"/>
              <w:pBdr/>
              <w:spacing/>
              <w:ind w:right="40" w:left="59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82%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rPr>
          <w:trHeight w:val="1168"/>
        </w:trPr>
        <w:tc>
          <w:tcPr>
            <w:tcBorders>
              <w:left w:val="single" w:color="cccccc" w:sz="8" w:space="0"/>
            </w:tcBorders>
            <w:tcW w:w="2100" w:type="dxa"/>
            <w:textDirection w:val="lrTb"/>
            <w:noWrap w:val="false"/>
          </w:tcPr>
          <w:p>
            <w:pPr>
              <w:pStyle w:val="975"/>
              <w:pBdr/>
              <w:spacing/>
              <w:ind w:right="116" w:hanging="1" w:left="408"/>
              <w:rPr>
                <w:sz w:val="24"/>
              </w:rPr>
            </w:pPr>
            <w:r>
              <w:rPr>
                <w:spacing w:val="-2"/>
                <w:sz w:val="24"/>
              </w:rPr>
            </w:r>
            <w:r>
              <w:t xml:space="preserve">Мистецтво та спеціалізована мистецька освіта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/>
            <w:tcW w:w="3180" w:type="dxa"/>
            <w:textDirection w:val="lrTb"/>
            <w:noWrap w:val="false"/>
          </w:tcPr>
          <w:p>
            <w:pPr>
              <w:pStyle w:val="975"/>
              <w:pBdr/>
              <w:spacing/>
              <w:ind w:right="129" w:hanging="1" w:left="151"/>
              <w:rPr>
                <w:sz w:val="24"/>
              </w:rPr>
            </w:pPr>
            <w:r>
              <w:rPr>
                <w:sz w:val="24"/>
              </w:rPr>
              <w:t xml:space="preserve">Забезпечення діяльності </w:t>
            </w:r>
            <w:r>
              <w:t xml:space="preserve">музичних та художніх шкіл шляхом </w:t>
            </w:r>
            <w:r>
              <w:t xml:space="preserve">модернізації матеріально-технічної бази 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/>
            <w:tcW w:w="4335" w:type="dxa"/>
            <w:textDirection w:val="lrTb"/>
            <w:noWrap w:val="false"/>
          </w:tcPr>
          <w:p>
            <w:pPr>
              <w:pStyle w:val="975"/>
              <w:pBdr/>
              <w:spacing/>
              <w:ind w:right="138" w:left="159"/>
              <w:rPr>
                <w:sz w:val="24"/>
              </w:rPr>
            </w:pPr>
            <w:r>
              <w:rPr>
                <w:sz w:val="24"/>
              </w:rPr>
              <w:t xml:space="preserve">Рівень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забезпечення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належних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умов зберігання культурних цінностей шляхом створення та оснащення </w:t>
            </w:r>
            <w:r>
              <w:rPr>
                <w:spacing w:val="-2"/>
                <w:sz w:val="24"/>
              </w:rPr>
              <w:t xml:space="preserve">фондосховищ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/>
            <w:tcW w:w="1215" w:type="dxa"/>
            <w:textDirection w:val="lrTb"/>
            <w:noWrap w:val="false"/>
          </w:tcPr>
          <w:p>
            <w:pPr>
              <w:pStyle w:val="975"/>
              <w:pBdr/>
              <w:spacing/>
              <w:ind w:right="60" w:left="79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30%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/>
            <w:tcW w:w="1320" w:type="dxa"/>
            <w:textDirection w:val="lrTb"/>
            <w:noWrap w:val="false"/>
          </w:tcPr>
          <w:p>
            <w:pPr>
              <w:pStyle w:val="975"/>
              <w:pBdr/>
              <w:spacing/>
              <w:ind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46%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bottom w:val="single" w:color="000000" w:sz="4" w:space="0"/>
              <w:right w:val="single" w:color="000000" w:sz="4" w:space="0"/>
            </w:tcBorders>
            <w:tcW w:w="1365" w:type="dxa"/>
            <w:textDirection w:val="lrTb"/>
            <w:noWrap w:val="false"/>
          </w:tcPr>
          <w:p>
            <w:pPr>
              <w:pStyle w:val="975"/>
              <w:pBdr/>
              <w:spacing/>
              <w:ind w:left="14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67%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0" w:type="dxa"/>
            <w:textDirection w:val="lrTb"/>
            <w:noWrap w:val="false"/>
          </w:tcPr>
          <w:p>
            <w:pPr>
              <w:pStyle w:val="975"/>
              <w:pBdr/>
              <w:spacing/>
              <w:ind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80%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rPr>
          <w:trHeight w:val="0"/>
        </w:trPr>
        <w:tc>
          <w:tcPr>
            <w:tcBorders>
              <w:left w:val="single" w:color="cccccc" w:sz="8" w:space="0"/>
            </w:tcBorders>
            <w:tcW w:w="2100" w:type="dxa"/>
            <w:textDirection w:val="lrTb"/>
            <w:noWrap w:val="false"/>
          </w:tcPr>
          <w:p>
            <w:pPr>
              <w:pStyle w:val="975"/>
              <w:pBdr/>
              <w:spacing w:line="270" w:lineRule="atLeast"/>
              <w:ind w:right="386" w:hanging="1" w:left="40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Культурні послуги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/>
            <w:tcW w:w="3180" w:type="dxa"/>
            <w:textDirection w:val="lrTb"/>
            <w:noWrap w:val="false"/>
          </w:tcPr>
          <w:p w14:paraId="3FC2DA74">
            <w:pPr>
              <w:pStyle w:val="975"/>
              <w:pBdr/>
              <w:spacing w:before="23"/>
              <w:ind w:right="24" w:left="4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Покращення якості надання культурних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послуг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шляхом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модернізації інфраструктури та оновлення матеріально-технічної бази закладів культури,</w:t>
            </w:r>
            <w:r>
              <w:rPr>
                <w:spacing w:val="46"/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 xml:space="preserve">що</w:t>
            </w:r>
            <w:r>
              <w:rPr>
                <w:spacing w:val="48"/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 xml:space="preserve">надають</w:t>
            </w:r>
            <w:r>
              <w:rPr>
                <w:spacing w:val="47"/>
                <w:sz w:val="24"/>
                <w:szCs w:val="24"/>
              </w:rPr>
              <w:t xml:space="preserve">   </w:t>
            </w:r>
            <w:r>
              <w:rPr>
                <w:spacing w:val="-2"/>
                <w:sz w:val="24"/>
                <w:szCs w:val="24"/>
              </w:rPr>
              <w:t xml:space="preserve">базові </w:t>
            </w:r>
            <w:r>
              <w:rPr>
                <w:sz w:val="24"/>
                <w:szCs w:val="24"/>
              </w:rPr>
              <w:t xml:space="preserve">культурні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 xml:space="preserve">послуги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75"/>
              <w:pBdr/>
              <w:spacing w:line="270" w:lineRule="atLeast"/>
              <w:ind w:right="12" w:left="34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/>
            <w:tcW w:w="4335" w:type="dxa"/>
            <w:textDirection w:val="lrTb"/>
            <w:noWrap w:val="false"/>
          </w:tcPr>
          <w:p w14:paraId="3E6EEF28">
            <w:pPr>
              <w:pStyle w:val="975"/>
              <w:pBdr/>
              <w:tabs>
                <w:tab w:val="left" w:leader="none" w:pos="1838"/>
                <w:tab w:val="left" w:leader="none" w:pos="2026"/>
              </w:tabs>
              <w:spacing w:before="23"/>
              <w:ind w:right="22" w:left="42"/>
              <w:jc w:val="center"/>
              <w:rPr>
                <w:sz w:val="24"/>
                <w:szCs w:val="24"/>
              </w:rPr>
            </w:pPr>
            <w:r>
              <w:rPr>
                <w:spacing w:val="-2"/>
                <w:sz w:val="28"/>
              </w:rPr>
              <w:t xml:space="preserve">Р</w:t>
            </w:r>
            <w:r>
              <w:rPr>
                <w:spacing w:val="-2"/>
                <w:sz w:val="24"/>
                <w:szCs w:val="24"/>
              </w:rPr>
              <w:t xml:space="preserve">івень </w:t>
            </w:r>
            <w:r>
              <w:rPr>
                <w:sz w:val="24"/>
                <w:szCs w:val="24"/>
              </w:rPr>
              <w:t xml:space="preserve">оновлення матеріально-технічної бази</w:t>
            </w:r>
            <w:r>
              <w:rPr>
                <w:spacing w:val="-2"/>
                <w:sz w:val="24"/>
                <w:szCs w:val="24"/>
              </w:rPr>
              <w:t xml:space="preserve"> ззакладів </w:t>
            </w:r>
            <w:r>
              <w:rPr>
                <w:sz w:val="24"/>
                <w:szCs w:val="24"/>
              </w:rPr>
              <w:t xml:space="preserve">культури, що надають </w:t>
            </w:r>
            <w:r>
              <w:rPr>
                <w:spacing w:val="-2"/>
                <w:sz w:val="24"/>
                <w:szCs w:val="24"/>
              </w:rPr>
              <w:t xml:space="preserve">базові</w:t>
            </w:r>
            <w:r>
              <w:rPr>
                <w:spacing w:val="-2"/>
                <w:sz w:val="24"/>
                <w:szCs w:val="24"/>
              </w:rPr>
              <w:t xml:space="preserve"> культурні  </w:t>
            </w:r>
            <w:r>
              <w:rPr>
                <w:sz w:val="24"/>
                <w:szCs w:val="24"/>
              </w:rPr>
              <w:t xml:space="preserve">послуги.</w:t>
            </w:r>
            <w:r>
              <w:rPr>
                <w:spacing w:val="50"/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 w14:paraId="5DD24FD3">
            <w:pPr>
              <w:pStyle w:val="975"/>
              <w:pBdr/>
              <w:tabs>
                <w:tab w:val="left" w:leader="none" w:pos="1782"/>
              </w:tabs>
              <w:spacing w:before="23"/>
              <w:ind w:right="24" w:left="42"/>
              <w:jc w:val="both"/>
              <w:rPr>
                <w:sz w:val="28"/>
              </w:rPr>
            </w:pPr>
            <w:r>
              <w:rPr>
                <w:sz w:val="28"/>
              </w:rPr>
            </w:r>
            <w:r>
              <w:rPr>
                <w:sz w:val="28"/>
              </w:rPr>
            </w:r>
            <w:r>
              <w:rPr>
                <w:sz w:val="28"/>
              </w:rPr>
            </w:r>
          </w:p>
          <w:p>
            <w:pPr>
              <w:pStyle w:val="975"/>
              <w:pBdr/>
              <w:spacing w:line="270" w:lineRule="atLeast"/>
              <w:ind w:right="430" w:left="452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/>
            <w:tcW w:w="1215" w:type="dxa"/>
            <w:textDirection w:val="lrTb"/>
            <w:noWrap w:val="false"/>
          </w:tcPr>
          <w:p>
            <w:pPr>
              <w:pStyle w:val="975"/>
              <w:pBdr/>
              <w:spacing/>
              <w:ind w:right="60" w:left="79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20%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/>
            <w:tcW w:w="1320" w:type="dxa"/>
            <w:textDirection w:val="lrTb"/>
            <w:noWrap w:val="false"/>
          </w:tcPr>
          <w:p>
            <w:pPr>
              <w:pStyle w:val="975"/>
              <w:pBdr/>
              <w:spacing/>
              <w:ind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33%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4" w:space="0"/>
              <w:bottom w:val="single" w:color="cccccc" w:sz="8" w:space="0"/>
              <w:right w:val="single" w:color="000000" w:sz="4" w:space="0"/>
            </w:tcBorders>
            <w:tcW w:w="1365" w:type="dxa"/>
            <w:textDirection w:val="lrTb"/>
            <w:noWrap w:val="false"/>
          </w:tcPr>
          <w:p>
            <w:pPr>
              <w:pStyle w:val="975"/>
              <w:pBdr/>
              <w:spacing/>
              <w:ind w:left="14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57%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cccccc" w:sz="8" w:space="0"/>
              <w:right w:val="single" w:color="000000" w:sz="4" w:space="0"/>
            </w:tcBorders>
            <w:tcW w:w="1200" w:type="dxa"/>
            <w:textDirection w:val="lrTb"/>
            <w:noWrap w:val="false"/>
          </w:tcPr>
          <w:p>
            <w:pPr>
              <w:pStyle w:val="975"/>
              <w:pBdr/>
              <w:spacing/>
              <w:ind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85%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</w:tbl>
    <w:tbl>
      <w:tblPr>
        <w:tblInd w:w="83" w:type="dxa"/>
        <w:tblW w:w="0" w:type="auto"/>
        <w:tblCellMar>
          <w:left w:w="0" w:type="dxa"/>
          <w:top w:w="0" w:type="dxa"/>
          <w:right w:w="0" w:type="dxa"/>
          <w:bottom w:w="0" w:type="dxa"/>
        </w:tblCellMar>
        <w:tblBorders>
          <w:top w:val="single" w:color="cccccc" w:sz="8" w:space="0"/>
          <w:left w:val="single" w:color="cccccc" w:sz="8" w:space="0"/>
          <w:bottom w:val="single" w:color="cccccc" w:sz="8" w:space="0"/>
          <w:right w:val="single" w:color="cccccc" w:sz="8" w:space="0"/>
          <w:insideH w:val="single" w:color="cccccc" w:sz="8" w:space="0"/>
          <w:insideV w:val="single" w:color="cccccc" w:sz="8" w:space="0"/>
        </w:tblBorders>
        <w:tblLayout w:type="fixed"/>
        <w:tblLook w:val="01E0" w:firstRow="1" w:lastRow="1" w:firstColumn="1" w:lastColumn="1" w:noHBand="0" w:noVBand="0"/>
      </w:tblPr>
      <w:tblGrid>
        <w:gridCol w:w="2100"/>
        <w:gridCol w:w="3180"/>
        <w:gridCol w:w="4335"/>
        <w:gridCol w:w="1215"/>
        <w:gridCol w:w="1320"/>
        <w:gridCol w:w="1365"/>
        <w:gridCol w:w="1200"/>
      </w:tblGrid>
      <w:tr>
        <w:trPr>
          <w:trHeight w:val="1103"/>
        </w:trPr>
        <w:tc>
          <w:tcPr>
            <w:gridSpan w:val="7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W w:w="14715" w:type="dxa"/>
            <w:textDirection w:val="lrTb"/>
            <w:noWrap w:val="false"/>
          </w:tcPr>
          <w:p w14:paraId="3DA6EFE1">
            <w:pPr>
              <w:pStyle w:val="973"/>
              <w:pBdr/>
              <w:spacing w:after="8" w:before="26" w:line="259" w:lineRule="auto"/>
              <w:ind w:right="-25" w:firstLine="0" w:left="0"/>
              <w:rPr>
                <w:b/>
                <w:bCs/>
                <w:sz w:val="24"/>
                <w:szCs w:val="24"/>
              </w:rPr>
            </w:pPr>
            <w:r>
              <w:rPr>
                <w:sz w:val="24"/>
              </w:rPr>
              <w:t xml:space="preserve">Пріоритетна галузь (сектор) для публічного інвестування –</w:t>
            </w:r>
            <w:r>
              <w:rPr>
                <w:b/>
                <w:sz w:val="24"/>
              </w:rPr>
              <w:t xml:space="preserve">Громадська безпека 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  <w:p w14:paraId="6883E1C7">
            <w:pPr>
              <w:pStyle w:val="973"/>
              <w:pBdr/>
              <w:spacing w:after="8" w:before="26" w:line="259" w:lineRule="auto"/>
              <w:ind w:right="-25" w:firstLine="0" w:left="0"/>
              <w:rPr>
                <w:rStyle w:val="955"/>
                <w:color w:val="auto"/>
                <w:sz w:val="24"/>
                <w:szCs w:val="24"/>
                <w:u w:val="none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Структурний підрозділ,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відповідальний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за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галузь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(сектор)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для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публічного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інвестування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–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hyperlink r:id="rId13" w:tooltip="https://krasnograd-rada.gov.ua/viddil-oboronnoi-i-mobilizatsiinoi-roboty-ta-tsyvilnoho-zakhystu/" w:history="1">
              <w:r>
                <w:rPr>
                  <w:rStyle w:val="955"/>
                  <w:bCs/>
                  <w:color w:val="auto"/>
                  <w:sz w:val="24"/>
                  <w:szCs w:val="24"/>
                  <w:u w:val="none"/>
                </w:rPr>
                <w:t xml:space="preserve">Відділ цивільного захисту, оборонної, мобілізаційної роботи та взаємодії з правоохоронними органами</w:t>
              </w:r>
            </w:hyperlink>
            <w:r>
              <w:rPr>
                <w:rStyle w:val="955"/>
                <w:color w:val="auto"/>
                <w:sz w:val="24"/>
                <w:szCs w:val="24"/>
                <w:u w:val="none"/>
              </w:rPr>
            </w:r>
            <w:r>
              <w:rPr>
                <w:rStyle w:val="955"/>
                <w:color w:val="auto"/>
                <w:sz w:val="24"/>
                <w:szCs w:val="24"/>
                <w:u w:val="none"/>
              </w:rPr>
            </w:r>
          </w:p>
          <w:p>
            <w:pPr>
              <w:pStyle w:val="975"/>
              <w:pBdr/>
              <w:spacing/>
              <w:ind w:right="-25" w:firstLine="0" w:left="0"/>
              <w:jc w:val="left"/>
              <w:rPr>
                <w:b/>
                <w:bCs/>
                <w:spacing w:val="-4"/>
                <w:sz w:val="24"/>
                <w:szCs w:val="24"/>
                <w:highlight w:val="none"/>
              </w:rPr>
            </w:pPr>
            <w:r>
              <w:rPr>
                <w:sz w:val="24"/>
              </w:rPr>
              <w:t xml:space="preserve">Граничний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сукупний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обсяг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публічних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інвестицій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середньостроковий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період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галузь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(сектор)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   209,6 тис.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 xml:space="preserve">грн.</w:t>
            </w:r>
            <w:r>
              <w:rPr>
                <w:b/>
                <w:bCs/>
                <w:spacing w:val="-4"/>
                <w:sz w:val="24"/>
                <w:szCs w:val="24"/>
                <w:highlight w:val="none"/>
              </w:rPr>
            </w:r>
            <w:r>
              <w:rPr>
                <w:b/>
                <w:bCs/>
                <w:spacing w:val="-4"/>
                <w:sz w:val="24"/>
                <w:szCs w:val="24"/>
                <w:highlight w:val="none"/>
              </w:rPr>
            </w:r>
          </w:p>
          <w:p w14:paraId="30CDA20E">
            <w:pPr>
              <w:pStyle w:val="975"/>
              <w:pBdr/>
              <w:spacing/>
              <w:ind w:right="-25" w:firstLine="0" w:left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spacing w:val="-4"/>
                <w:sz w:val="24"/>
                <w:highlight w:val="none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>
          <w:trHeight w:val="1931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100" w:type="dxa"/>
            <w:textDirection w:val="lrTb"/>
            <w:noWrap w:val="false"/>
          </w:tcPr>
          <w:p>
            <w:pPr>
              <w:pStyle w:val="975"/>
              <w:pBdr/>
              <w:spacing/>
              <w:ind w:left="141"/>
              <w:jc w:val="left"/>
              <w:rPr>
                <w:sz w:val="24"/>
              </w:rPr>
            </w:pPr>
            <w:r>
              <w:rPr>
                <w:sz w:val="24"/>
              </w:rPr>
              <w:t xml:space="preserve">Цивільний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захист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180" w:type="dxa"/>
            <w:textDirection w:val="lrTb"/>
            <w:noWrap w:val="false"/>
          </w:tcPr>
          <w:p w14:paraId="5AFC551F">
            <w:pPr>
              <w:pStyle w:val="975"/>
              <w:pBdr/>
              <w:spacing/>
              <w:ind w:left="42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Розвиток спроможності </w:t>
            </w:r>
            <w:r>
              <w:rPr>
                <w:sz w:val="24"/>
                <w:szCs w:val="24"/>
              </w:rPr>
              <w:t xml:space="preserve">територіальної громади у сфері безпеки через розширення мережі центрів оповіщення населення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75"/>
              <w:pBdr/>
              <w:spacing w:line="270" w:lineRule="atLeast"/>
              <w:ind w:right="44" w:hanging="1" w:left="66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4335" w:type="dxa"/>
            <w:textDirection w:val="lrTb"/>
            <w:noWrap w:val="false"/>
          </w:tcPr>
          <w:p>
            <w:pPr>
              <w:pStyle w:val="975"/>
              <w:pBdr/>
              <w:spacing/>
              <w:ind w:right="22" w:hanging="317" w:left="657"/>
              <w:jc w:val="left"/>
              <w:rPr>
                <w:sz w:val="24"/>
              </w:rPr>
            </w:pPr>
            <w:r>
              <w:rPr>
                <w:sz w:val="24"/>
              </w:rPr>
              <w:t xml:space="preserve">Частка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населення громади охопленого послугою оповіщення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215" w:type="dxa"/>
            <w:textDirection w:val="lrTb"/>
            <w:noWrap w:val="false"/>
          </w:tcPr>
          <w:p>
            <w:pPr>
              <w:pStyle w:val="975"/>
              <w:pBdr/>
              <w:spacing/>
              <w:ind w:right="60" w:left="79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30%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320" w:type="dxa"/>
            <w:textDirection w:val="lrTb"/>
            <w:noWrap w:val="false"/>
          </w:tcPr>
          <w:p>
            <w:pPr>
              <w:pStyle w:val="975"/>
              <w:pBdr/>
              <w:spacing/>
              <w:ind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40%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1365" w:type="dxa"/>
            <w:textDirection w:val="lrTb"/>
            <w:noWrap w:val="false"/>
          </w:tcPr>
          <w:p>
            <w:pPr>
              <w:pStyle w:val="975"/>
              <w:pBdr/>
              <w:spacing/>
              <w:ind w:left="14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50%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0" w:type="dxa"/>
            <w:textDirection w:val="lrTb"/>
            <w:noWrap w:val="false"/>
          </w:tcPr>
          <w:p>
            <w:pPr>
              <w:pStyle w:val="975"/>
              <w:pBdr/>
              <w:spacing/>
              <w:ind w:left="20"/>
              <w:rPr>
                <w:sz w:val="24"/>
              </w:rPr>
            </w:pPr>
            <w:r>
              <w:rPr>
                <w:sz w:val="24"/>
              </w:rPr>
              <w:t xml:space="preserve">95%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rPr>
          <w:trHeight w:val="177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100" w:type="dxa"/>
            <w:vMerge w:val="restart"/>
            <w:textDirection w:val="lrTb"/>
            <w:noWrap w:val="false"/>
          </w:tcPr>
          <w:p>
            <w:pPr>
              <w:pStyle w:val="975"/>
              <w:pBdr/>
              <w:spacing/>
              <w:ind w:left="141"/>
              <w:jc w:val="left"/>
              <w:rPr>
                <w:sz w:val="24"/>
              </w:rPr>
            </w:pPr>
            <w:r>
              <w:rPr>
                <w:sz w:val="24"/>
              </w:rPr>
              <w:t xml:space="preserve">Цивільний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захист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180" w:type="dxa"/>
            <w:vMerge w:val="restart"/>
            <w:textDirection w:val="lrTb"/>
            <w:noWrap w:val="false"/>
          </w:tcPr>
          <w:p>
            <w:pPr>
              <w:pStyle w:val="975"/>
              <w:pBdr/>
              <w:spacing/>
              <w:ind w:right="15" w:left="34"/>
              <w:rPr>
                <w:sz w:val="24"/>
              </w:rPr>
            </w:pPr>
            <w:r>
              <w:rPr>
                <w:sz w:val="24"/>
              </w:rPr>
              <w:t xml:space="preserve">Підвищення </w:t>
            </w:r>
            <w:r>
              <w:t xml:space="preserve">матеріально-технічного  забезпечення місцевих пожежних команд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4335" w:type="dxa"/>
            <w:textDirection w:val="lrTb"/>
            <w:noWrap w:val="false"/>
          </w:tcPr>
          <w:p>
            <w:pPr>
              <w:pStyle w:val="975"/>
              <w:pBdr/>
              <w:spacing/>
              <w:ind w:right="207" w:hanging="1" w:left="230"/>
              <w:rPr>
                <w:sz w:val="24"/>
              </w:rPr>
            </w:pPr>
            <w:r>
              <w:rPr>
                <w:sz w:val="24"/>
              </w:rPr>
              <w:t xml:space="preserve">Рівень забезпечення </w:t>
            </w:r>
            <w:r>
              <w:rPr>
                <w:sz w:val="24"/>
              </w:rPr>
              <w:t xml:space="preserve">належних умов праці з метою реагування на надзвичайні ситуації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215" w:type="dxa"/>
            <w:textDirection w:val="lrTb"/>
            <w:noWrap w:val="false"/>
          </w:tcPr>
          <w:p>
            <w:pPr>
              <w:pStyle w:val="975"/>
              <w:pBdr/>
              <w:spacing/>
              <w:ind w:right="60" w:left="79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320" w:type="dxa"/>
            <w:textDirection w:val="lrTb"/>
            <w:noWrap w:val="false"/>
          </w:tcPr>
          <w:p>
            <w:pPr>
              <w:pStyle w:val="975"/>
              <w:pBdr/>
              <w:spacing/>
              <w:ind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30%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1365" w:type="dxa"/>
            <w:textDirection w:val="lrTb"/>
            <w:noWrap w:val="false"/>
          </w:tcPr>
          <w:p>
            <w:pPr>
              <w:pStyle w:val="975"/>
              <w:pBdr/>
              <w:spacing/>
              <w:ind w:left="15"/>
              <w:rPr>
                <w:sz w:val="24"/>
              </w:rPr>
            </w:pPr>
            <w:r>
              <w:rPr>
                <w:sz w:val="24"/>
              </w:rPr>
              <w:t xml:space="preserve">50%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0" w:type="dxa"/>
            <w:textDirection w:val="lrTb"/>
            <w:noWrap w:val="false"/>
          </w:tcPr>
          <w:p>
            <w:pPr>
              <w:pStyle w:val="975"/>
              <w:pBdr/>
              <w:spacing/>
              <w:ind w:left="20"/>
              <w:rPr>
                <w:sz w:val="24"/>
              </w:rPr>
            </w:pPr>
            <w:r>
              <w:rPr>
                <w:sz w:val="24"/>
              </w:rPr>
              <w:t xml:space="preserve">80%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rPr>
          <w:trHeight w:val="177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100" w:type="dxa"/>
            <w:vMerge w:val="restart"/>
            <w:textDirection w:val="lrTb"/>
            <w:noWrap w:val="false"/>
          </w:tcPr>
          <w:p w14:paraId="5BBAC37C">
            <w:pPr>
              <w:pStyle w:val="975"/>
              <w:pBdr/>
              <w:spacing/>
              <w:ind w:left="141"/>
              <w:jc w:val="left"/>
              <w:rPr>
                <w:sz w:val="24"/>
              </w:rPr>
            </w:pPr>
            <w:r>
              <w:rPr>
                <w:sz w:val="24"/>
              </w:rPr>
            </w:r>
            <w:r>
              <w:t xml:space="preserve">Протидія злочинності, підтримання публічної безпеки та порядку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180" w:type="dxa"/>
            <w:vMerge w:val="restart"/>
            <w:textDirection w:val="lrTb"/>
            <w:noWrap w:val="false"/>
          </w:tcPr>
          <w:p w14:paraId="15C72608">
            <w:pPr>
              <w:pStyle w:val="975"/>
              <w:pBdr/>
              <w:spacing/>
              <w:ind w:right="15" w:left="34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Запобігання правопорушенням, розвиток інфраструктури муніципальної безпеки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шляхом встановлення камер відеоспостереження та систем відеоаналітики.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4335" w:type="dxa"/>
            <w:vMerge w:val="restart"/>
            <w:textDirection w:val="lrTb"/>
            <w:noWrap w:val="false"/>
          </w:tcPr>
          <w:p w14:paraId="12591AB8">
            <w:pPr>
              <w:pStyle w:val="975"/>
              <w:pBdr/>
              <w:spacing/>
              <w:ind w:right="207" w:hanging="1" w:left="230"/>
              <w:rPr>
                <w:sz w:val="24"/>
              </w:rPr>
            </w:pPr>
            <w:r>
              <w:rPr>
                <w:sz w:val="24"/>
              </w:rPr>
              <w:t xml:space="preserve">Рівень скорочення правопорушень в громаді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215" w:type="dxa"/>
            <w:vMerge w:val="restart"/>
            <w:textDirection w:val="lrTb"/>
            <w:noWrap w:val="false"/>
          </w:tcPr>
          <w:p w14:paraId="20CC174E">
            <w:pPr>
              <w:pStyle w:val="975"/>
              <w:pBdr/>
              <w:spacing/>
              <w:ind w:right="60" w:left="79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 xml:space="preserve">30%</w:t>
            </w:r>
            <w:r>
              <w:rPr>
                <w:spacing w:val="-5"/>
                <w:sz w:val="24"/>
              </w:rPr>
            </w:r>
            <w:r>
              <w:rPr>
                <w:spacing w:val="-5"/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320" w:type="dxa"/>
            <w:vMerge w:val="restart"/>
            <w:textDirection w:val="lrTb"/>
            <w:noWrap w:val="false"/>
          </w:tcPr>
          <w:p w14:paraId="67B04BAA">
            <w:pPr>
              <w:pStyle w:val="975"/>
              <w:pBdr/>
              <w:spacing/>
              <w:ind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 xml:space="preserve">40%</w:t>
            </w:r>
            <w:r>
              <w:rPr>
                <w:spacing w:val="-5"/>
                <w:sz w:val="24"/>
              </w:rPr>
            </w:r>
            <w:r>
              <w:rPr>
                <w:spacing w:val="-5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1365" w:type="dxa"/>
            <w:vMerge w:val="restart"/>
            <w:textDirection w:val="lrTb"/>
            <w:noWrap w:val="false"/>
          </w:tcPr>
          <w:p w14:paraId="3A3E19FA">
            <w:pPr>
              <w:pStyle w:val="975"/>
              <w:pBdr/>
              <w:spacing/>
              <w:ind w:left="15"/>
              <w:rPr>
                <w:sz w:val="24"/>
              </w:rPr>
            </w:pPr>
            <w:r>
              <w:rPr>
                <w:sz w:val="24"/>
              </w:rPr>
              <w:t xml:space="preserve">50%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0" w:type="dxa"/>
            <w:vMerge w:val="restart"/>
            <w:textDirection w:val="lrTb"/>
            <w:noWrap w:val="false"/>
          </w:tcPr>
          <w:p w14:paraId="66AD6076">
            <w:pPr>
              <w:pStyle w:val="975"/>
              <w:pBdr/>
              <w:spacing/>
              <w:ind w:left="20"/>
              <w:rPr>
                <w:sz w:val="24"/>
              </w:rPr>
            </w:pPr>
            <w:r>
              <w:rPr>
                <w:sz w:val="24"/>
              </w:rPr>
              <w:t xml:space="preserve">60%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rPr>
          <w:trHeight w:val="1777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100" w:type="dxa"/>
            <w:vMerge w:val="restart"/>
            <w:textDirection w:val="lrTb"/>
            <w:noWrap w:val="false"/>
          </w:tcPr>
          <w:p w14:paraId="6DFCAFCA">
            <w:pPr>
              <w:pStyle w:val="975"/>
              <w:pBdr/>
              <w:spacing/>
              <w:ind w:left="141"/>
              <w:jc w:val="left"/>
              <w:rPr>
                <w:sz w:val="24"/>
              </w:rPr>
            </w:pPr>
            <w:r>
              <w:rPr>
                <w:sz w:val="24"/>
              </w:rPr>
              <w:t xml:space="preserve">Цивільний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захист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 w14:paraId="17D344CD">
            <w:pPr>
              <w:pStyle w:val="975"/>
              <w:pBdr/>
              <w:spacing/>
              <w:ind w:left="141"/>
              <w:jc w:val="left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180" w:type="dxa"/>
            <w:vMerge w:val="restart"/>
            <w:textDirection w:val="lrTb"/>
            <w:noWrap w:val="false"/>
          </w:tcPr>
          <w:p w14:paraId="6DA024C3">
            <w:pPr>
              <w:pStyle w:val="975"/>
              <w:pBdr/>
              <w:spacing/>
              <w:ind w:right="15" w:left="34"/>
              <w:rPr>
                <w:rFonts w:ascii="Times New Roman" w:hAnsi="Times New Roman" w:cs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u w:val="none"/>
              </w:rPr>
              <w:t xml:space="preserve">Розвиток мережі захисних споруд цивільного захисту населення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4335" w:type="dxa"/>
            <w:vMerge w:val="restart"/>
            <w:textDirection w:val="lrTb"/>
            <w:noWrap w:val="false"/>
          </w:tcPr>
          <w:p w14:paraId="6A1EBD4C">
            <w:pPr>
              <w:pStyle w:val="975"/>
              <w:pBdr/>
              <w:spacing/>
              <w:ind w:right="22" w:hanging="178" w:left="24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Рівень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забезпечення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населення громади спорудами цивільного захисту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 w14:paraId="5CA2534D">
            <w:pPr>
              <w:pStyle w:val="975"/>
              <w:pBdr/>
              <w:spacing/>
              <w:ind w:right="207" w:hanging="1" w:left="230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215" w:type="dxa"/>
            <w:vMerge w:val="restart"/>
            <w:textDirection w:val="lrTb"/>
            <w:noWrap w:val="false"/>
          </w:tcPr>
          <w:p w14:paraId="680F17C6">
            <w:pPr>
              <w:pStyle w:val="975"/>
              <w:pBdr/>
              <w:spacing/>
              <w:ind w:right="60" w:left="79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 xml:space="preserve">30%</w:t>
            </w:r>
            <w:r>
              <w:rPr>
                <w:spacing w:val="-5"/>
                <w:sz w:val="24"/>
              </w:rPr>
            </w:r>
            <w:r>
              <w:rPr>
                <w:spacing w:val="-5"/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320" w:type="dxa"/>
            <w:vMerge w:val="restart"/>
            <w:textDirection w:val="lrTb"/>
            <w:noWrap w:val="false"/>
          </w:tcPr>
          <w:p w14:paraId="6C21FDEE">
            <w:pPr>
              <w:pStyle w:val="975"/>
              <w:pBdr/>
              <w:spacing/>
              <w:ind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 xml:space="preserve">40%</w:t>
            </w:r>
            <w:r>
              <w:rPr>
                <w:spacing w:val="-5"/>
                <w:sz w:val="24"/>
              </w:rPr>
            </w:r>
            <w:r>
              <w:rPr>
                <w:spacing w:val="-5"/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1365" w:type="dxa"/>
            <w:vMerge w:val="restart"/>
            <w:textDirection w:val="lrTb"/>
            <w:noWrap w:val="false"/>
          </w:tcPr>
          <w:p w14:paraId="4B8BE23B">
            <w:pPr>
              <w:pStyle w:val="975"/>
              <w:pBdr/>
              <w:spacing/>
              <w:ind w:left="15"/>
              <w:rPr>
                <w:sz w:val="24"/>
              </w:rPr>
            </w:pPr>
            <w:r>
              <w:rPr>
                <w:sz w:val="24"/>
              </w:rPr>
              <w:t xml:space="preserve">50%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0" w:type="dxa"/>
            <w:vMerge w:val="restart"/>
            <w:textDirection w:val="lrTb"/>
            <w:noWrap w:val="false"/>
          </w:tcPr>
          <w:p w14:paraId="1D46B4EB">
            <w:pPr>
              <w:pStyle w:val="975"/>
              <w:pBdr/>
              <w:spacing/>
              <w:ind w:left="20"/>
              <w:rPr>
                <w:sz w:val="24"/>
              </w:rPr>
            </w:pPr>
            <w:r>
              <w:rPr>
                <w:sz w:val="24"/>
              </w:rPr>
              <w:t xml:space="preserve">80%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rPr>
          <w:trHeight w:val="1103"/>
        </w:trPr>
        <w:tc>
          <w:tcPr>
            <w:gridSpan w:val="7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W w:w="14715" w:type="dxa"/>
            <w:textDirection w:val="lrTb"/>
            <w:noWrap w:val="false"/>
          </w:tcPr>
          <w:p w14:paraId="7590E419">
            <w:pPr>
              <w:pStyle w:val="975"/>
              <w:pBdr/>
              <w:spacing/>
              <w:ind w:right="2847" w:left="40"/>
              <w:jc w:val="left"/>
              <w:rPr>
                <w:b/>
                <w:bCs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highlight w:val="none"/>
              </w:rPr>
            </w:r>
            <w:r>
              <w:rPr>
                <w:b/>
                <w:bCs/>
                <w:sz w:val="24"/>
                <w:szCs w:val="24"/>
                <w:highlight w:val="none"/>
              </w:rPr>
            </w:r>
            <w:r>
              <w:rPr>
                <w:b/>
                <w:bCs/>
                <w:sz w:val="24"/>
                <w:szCs w:val="24"/>
                <w:highlight w:val="none"/>
              </w:rPr>
            </w:r>
          </w:p>
          <w:p w14:paraId="5DC0CD7B">
            <w:pPr>
              <w:pStyle w:val="973"/>
              <w:pBdr/>
              <w:spacing w:before="26" w:line="256" w:lineRule="auto"/>
              <w:ind w:right="0" w:firstLine="0" w:left="0"/>
              <w:rPr>
                <w:b/>
                <w:bCs/>
                <w:sz w:val="24"/>
                <w:szCs w:val="24"/>
              </w:rPr>
            </w:pPr>
            <w:r>
              <w:rPr>
                <w:sz w:val="24"/>
              </w:rPr>
              <w:t xml:space="preserve">Пріоритетна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галузь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(сектор)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публічного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інвестування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–</w:t>
            </w:r>
            <w:r>
              <w:rPr>
                <w:b/>
                <w:sz w:val="24"/>
              </w:rPr>
              <w:t xml:space="preserve">Спорт,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фізичне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молодіжне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виховання 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  <w:p w14:paraId="7E364859">
            <w:pPr>
              <w:pStyle w:val="973"/>
              <w:pBdr/>
              <w:spacing w:before="26" w:line="256" w:lineRule="auto"/>
              <w:ind w:right="0" w:firstLine="0" w:left="0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</w:rPr>
            </w:r>
            <w:r>
              <w:rPr>
                <w:sz w:val="24"/>
                <w:szCs w:val="24"/>
              </w:rPr>
              <w:t xml:space="preserve">Структурний підрозділ,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відповідальний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за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галузь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(сектор)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для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публічного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інвестування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–</w:t>
            </w:r>
            <w:r>
              <w:rPr>
                <w:spacing w:val="80"/>
                <w:sz w:val="24"/>
                <w:szCs w:val="24"/>
              </w:rPr>
              <w:t xml:space="preserve"> </w:t>
            </w:r>
            <w:hyperlink r:id="rId14" w:tooltip="https://krasnograd-rada.gov.ua/struktura-mr/viddil-sport/" w:history="1">
              <w:r>
                <w:rPr>
                  <w:rStyle w:val="941"/>
                  <w:b w:val="0"/>
                  <w:sz w:val="24"/>
                  <w:szCs w:val="24"/>
                  <w:shd w:val="clear" w:color="auto" w:fill="ffffff"/>
                </w:rPr>
                <w:t xml:space="preserve">Відділ культури, туризму, молоді та спорту </w:t>
              </w:r>
            </w:hyperlink>
            <w:r>
              <w:rPr>
                <w:b w:val="0"/>
                <w:bCs w:val="0"/>
                <w:sz w:val="24"/>
                <w:szCs w:val="24"/>
              </w:rPr>
              <w:t xml:space="preserve">Берестинської міської ради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975"/>
              <w:pBdr/>
              <w:spacing/>
              <w:ind w:left="40"/>
              <w:jc w:val="left"/>
              <w:rPr>
                <w:b/>
                <w:bCs/>
                <w:spacing w:val="-4"/>
                <w:sz w:val="24"/>
                <w:szCs w:val="24"/>
                <w:highlight w:val="none"/>
              </w:rPr>
            </w:pPr>
            <w:r>
              <w:rPr>
                <w:sz w:val="24"/>
              </w:rPr>
              <w:t xml:space="preserve">Граничний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сукупний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обсяг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публічних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інвестицій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середньостроковий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період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галузь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(сектор)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–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 209,6  </w:t>
            </w:r>
            <w:r>
              <w:rPr>
                <w:b/>
                <w:sz w:val="24"/>
              </w:rPr>
              <w:t xml:space="preserve">тис.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 xml:space="preserve">грн.</w:t>
            </w:r>
            <w:r>
              <w:rPr>
                <w:b/>
                <w:bCs/>
                <w:spacing w:val="-4"/>
                <w:sz w:val="24"/>
                <w:szCs w:val="24"/>
                <w:highlight w:val="none"/>
              </w:rPr>
            </w:r>
            <w:r>
              <w:rPr>
                <w:b/>
                <w:bCs/>
                <w:spacing w:val="-4"/>
                <w:sz w:val="24"/>
                <w:szCs w:val="24"/>
                <w:highlight w:val="none"/>
              </w:rPr>
            </w:r>
          </w:p>
          <w:p w14:paraId="0654F2B4">
            <w:pPr>
              <w:pStyle w:val="975"/>
              <w:pBdr/>
              <w:spacing/>
              <w:ind w:left="4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spacing w:val="-4"/>
                <w:sz w:val="24"/>
                <w:highlight w:val="none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>
          <w:trHeight w:val="1103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100" w:type="dxa"/>
            <w:textDirection w:val="lrTb"/>
            <w:noWrap w:val="false"/>
          </w:tcPr>
          <w:p>
            <w:pPr>
              <w:pStyle w:val="975"/>
              <w:pBdr/>
              <w:spacing/>
              <w:ind w:right="0" w:firstLine="0" w:left="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Молодіжне виховання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tcW w:w="3180" w:type="dxa"/>
            <w:textDirection w:val="lrTb"/>
            <w:noWrap w:val="false"/>
          </w:tcPr>
          <w:p w14:paraId="65358F0C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after="180" w:before="0"/>
              <w:ind w:right="0" w:firstLine="0" w:left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</w:rPr>
              <w:t xml:space="preserve">Розвиток мережі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u w:val="none"/>
              </w:rPr>
              <w:t xml:space="preserve"> молодіжних центрів, просторів та відповідних соціальних ініціатив для молоді.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 w14:paraId="2129F672">
            <w:pPr>
              <w:pStyle w:val="975"/>
              <w:pBdr/>
              <w:spacing w:line="270" w:lineRule="atLeast"/>
              <w:ind w:right="35" w:hanging="1" w:left="58"/>
              <w:rPr>
                <w:sz w:val="24"/>
                <w:szCs w:val="24"/>
              </w:rPr>
            </w:pPr>
            <w:r>
              <w:rPr>
                <w:sz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W w:w="4335" w:type="dxa"/>
            <w:textDirection w:val="lrTb"/>
            <w:noWrap w:val="false"/>
          </w:tcPr>
          <w:p>
            <w:pPr>
              <w:pStyle w:val="975"/>
              <w:pBdr/>
              <w:spacing w:line="270" w:lineRule="atLeast"/>
              <w:ind w:right="137" w:left="159"/>
              <w:rPr>
                <w:sz w:val="24"/>
                <w:szCs w:val="24"/>
                <w:highlight w:val="none"/>
              </w:rPr>
            </w:pPr>
            <w:r>
              <w:rPr>
                <w:sz w:val="24"/>
              </w:rPr>
              <w:t xml:space="preserve">Рівень залученості молоді до суспільного життя громади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215" w:type="dxa"/>
            <w:textDirection w:val="lrTb"/>
            <w:noWrap w:val="false"/>
          </w:tcPr>
          <w:p>
            <w:pPr>
              <w:pStyle w:val="975"/>
              <w:pBdr/>
              <w:spacing/>
              <w:ind w:right="60" w:left="79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30%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320" w:type="dxa"/>
            <w:textDirection w:val="lrTb"/>
            <w:noWrap w:val="false"/>
          </w:tcPr>
          <w:p>
            <w:pPr>
              <w:pStyle w:val="975"/>
              <w:pBdr/>
              <w:spacing/>
              <w:ind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40%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tcW w:w="1365" w:type="dxa"/>
            <w:textDirection w:val="lrTb"/>
            <w:noWrap w:val="false"/>
          </w:tcPr>
          <w:p>
            <w:pPr>
              <w:pStyle w:val="975"/>
              <w:pBdr/>
              <w:spacing/>
              <w:ind w:left="14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50%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0" w:type="dxa"/>
            <w:textDirection w:val="lrTb"/>
            <w:noWrap w:val="false"/>
          </w:tcPr>
          <w:p>
            <w:pPr>
              <w:pStyle w:val="975"/>
              <w:pBdr/>
              <w:spacing/>
              <w:ind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80%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</w:tbl>
    <w:p>
      <w:pPr>
        <w:pStyle w:val="975"/>
        <w:pBdr/>
        <w:spacing w:after="0"/>
        <w:ind/>
        <w:rPr>
          <w:sz w:val="24"/>
        </w:rPr>
        <w:sectPr>
          <w:footerReference w:type="default" r:id="rId10"/>
          <w:footnotePr/>
          <w:endnotePr/>
          <w:type w:val="continuous"/>
          <w:pgSz w:h="11910" w:orient="landscape" w:w="16840"/>
          <w:pgMar w:top="1280" w:right="708" w:bottom="1200" w:left="1275" w:header="0" w:footer="986" w:gutter="0"/>
          <w:cols w:num="1" w:sep="0" w:space="1701" w:equalWidth="1"/>
        </w:sect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tbl>
      <w:tblPr>
        <w:tblInd w:w="83" w:type="dxa"/>
        <w:tblW w:w="0" w:type="auto"/>
        <w:tblCellMar>
          <w:left w:w="0" w:type="dxa"/>
          <w:top w:w="0" w:type="dxa"/>
          <w:right w:w="0" w:type="dxa"/>
          <w:bottom w:w="0" w:type="dxa"/>
        </w:tblCellMar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Look w:val="01E0" w:firstRow="1" w:lastRow="1" w:firstColumn="1" w:lastColumn="1" w:noHBand="0" w:noVBand="0"/>
      </w:tblPr>
      <w:tblGrid>
        <w:gridCol w:w="2100"/>
        <w:gridCol w:w="3180"/>
        <w:gridCol w:w="4335"/>
        <w:gridCol w:w="1215"/>
        <w:gridCol w:w="1320"/>
        <w:gridCol w:w="1365"/>
        <w:gridCol w:w="1200"/>
      </w:tblGrid>
      <w:tr>
        <w:trPr>
          <w:trHeight w:val="1379"/>
        </w:trPr>
        <w:tc>
          <w:tcPr>
            <w:tcBorders>
              <w:left w:val="single" w:color="cccccc" w:sz="8" w:space="0"/>
            </w:tcBorders>
            <w:tcW w:w="2100" w:type="dxa"/>
            <w:textDirection w:val="lrTb"/>
            <w:noWrap w:val="false"/>
          </w:tcPr>
          <w:p>
            <w:pPr>
              <w:pStyle w:val="975"/>
              <w:pBdr/>
              <w:spacing/>
              <w:ind w:hanging="349" w:left="515"/>
              <w:jc w:val="left"/>
              <w:rPr>
                <w:sz w:val="24"/>
              </w:rPr>
            </w:pPr>
            <w:r>
              <w:rPr>
                <w:sz w:val="24"/>
              </w:rPr>
              <w:t xml:space="preserve">Спорт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фізичне </w:t>
            </w:r>
            <w:r>
              <w:rPr>
                <w:spacing w:val="-2"/>
                <w:sz w:val="24"/>
              </w:rPr>
              <w:t xml:space="preserve">виховання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/>
            <w:tcW w:w="3180" w:type="dxa"/>
            <w:textDirection w:val="lrTb"/>
            <w:noWrap w:val="false"/>
          </w:tcPr>
          <w:p>
            <w:pPr>
              <w:pStyle w:val="975"/>
              <w:pBdr/>
              <w:spacing w:line="270" w:lineRule="atLeast"/>
              <w:ind w:right="168" w:left="189"/>
              <w:rPr>
                <w:sz w:val="24"/>
              </w:rPr>
            </w:pPr>
            <w:r>
              <w:rPr>
                <w:sz w:val="24"/>
              </w:rPr>
              <w:t xml:space="preserve">Створення та розвиток мережі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об’єктів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спортивної інфраструктури з урахуванням вимог доступності та безпеки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/>
            <w:tcW w:w="4335" w:type="dxa"/>
            <w:textDirection w:val="lrTb"/>
            <w:noWrap w:val="false"/>
          </w:tcPr>
          <w:p>
            <w:pPr>
              <w:pStyle w:val="975"/>
              <w:pBdr/>
              <w:spacing/>
              <w:ind w:right="137" w:left="159"/>
              <w:rPr>
                <w:sz w:val="24"/>
              </w:rPr>
            </w:pPr>
            <w:r>
              <w:rPr>
                <w:sz w:val="24"/>
              </w:rPr>
              <w:t xml:space="preserve">Частка населених пунктів громади забезпечених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доступною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спортивною </w:t>
            </w:r>
            <w:r>
              <w:rPr>
                <w:spacing w:val="-2"/>
                <w:sz w:val="24"/>
              </w:rPr>
              <w:t xml:space="preserve">інфраструктурою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/>
            <w:tcW w:w="1215" w:type="dxa"/>
            <w:textDirection w:val="lrTb"/>
            <w:noWrap w:val="false"/>
          </w:tcPr>
          <w:p>
            <w:pPr>
              <w:pStyle w:val="975"/>
              <w:pBdr/>
              <w:spacing/>
              <w:ind w:right="60" w:left="79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30%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/>
            <w:tcW w:w="1320" w:type="dxa"/>
            <w:textDirection w:val="lrTb"/>
            <w:noWrap w:val="false"/>
          </w:tcPr>
          <w:p>
            <w:pPr>
              <w:pStyle w:val="975"/>
              <w:pBdr/>
              <w:spacing/>
              <w:ind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35%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4" w:space="0"/>
              <w:bottom w:val="single" w:color="cccccc" w:sz="8" w:space="0"/>
              <w:right w:val="single" w:color="000000" w:sz="4" w:space="0"/>
            </w:tcBorders>
            <w:tcW w:w="1365" w:type="dxa"/>
            <w:textDirection w:val="lrTb"/>
            <w:noWrap w:val="false"/>
          </w:tcPr>
          <w:p>
            <w:pPr>
              <w:pStyle w:val="975"/>
              <w:pBdr/>
              <w:spacing/>
              <w:ind w:left="14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50%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cccccc" w:sz="8" w:space="0"/>
              <w:right w:val="single" w:color="000000" w:sz="4" w:space="0"/>
            </w:tcBorders>
            <w:tcW w:w="1200" w:type="dxa"/>
            <w:textDirection w:val="lrTb"/>
            <w:noWrap w:val="false"/>
          </w:tcPr>
          <w:p>
            <w:pPr>
              <w:pStyle w:val="975"/>
              <w:pBdr/>
              <w:spacing/>
              <w:ind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70%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rPr>
          <w:trHeight w:val="855"/>
        </w:trPr>
        <w:tc>
          <w:tcPr>
            <w:gridSpan w:val="7"/>
            <w:tcBorders>
              <w:left w:val="single" w:color="cccccc" w:sz="8" w:space="0"/>
            </w:tcBorders>
            <w:tcW w:w="14715" w:type="dxa"/>
            <w:textDirection w:val="lrTb"/>
            <w:noWrap w:val="false"/>
          </w:tcPr>
          <w:p w14:paraId="4D37862B">
            <w:pPr>
              <w:pStyle w:val="975"/>
              <w:pBdr/>
              <w:spacing/>
              <w:ind w:left="40"/>
              <w:jc w:val="left"/>
              <w:rPr>
                <w:b/>
                <w:bCs/>
                <w:spacing w:val="-2"/>
                <w:sz w:val="24"/>
                <w:szCs w:val="24"/>
                <w:highlight w:val="none"/>
              </w:rPr>
            </w:pPr>
            <w:r>
              <w:rPr>
                <w:b/>
                <w:spacing w:val="-2"/>
                <w:sz w:val="24"/>
                <w:highlight w:val="none"/>
              </w:rPr>
            </w:r>
            <w:r>
              <w:rPr>
                <w:b/>
                <w:bCs/>
                <w:spacing w:val="-2"/>
                <w:sz w:val="24"/>
                <w:szCs w:val="24"/>
                <w:highlight w:val="none"/>
              </w:rPr>
            </w:r>
            <w:r>
              <w:rPr>
                <w:b/>
                <w:bCs/>
                <w:spacing w:val="-2"/>
                <w:sz w:val="24"/>
                <w:szCs w:val="24"/>
                <w:highlight w:val="none"/>
              </w:rPr>
            </w:r>
          </w:p>
          <w:p>
            <w:pPr>
              <w:pStyle w:val="975"/>
              <w:pBdr/>
              <w:spacing/>
              <w:ind w:left="40"/>
              <w:jc w:val="left"/>
              <w:rPr>
                <w:b/>
                <w:bCs/>
                <w:spacing w:val="-2"/>
                <w:sz w:val="24"/>
                <w:szCs w:val="24"/>
                <w:highlight w:val="none"/>
              </w:rPr>
            </w:pPr>
            <w:r>
              <w:rPr>
                <w:sz w:val="24"/>
              </w:rPr>
              <w:t xml:space="preserve">Пріоритетна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галузь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(сектор)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публічного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інвестування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–</w:t>
            </w:r>
            <w:r>
              <w:rPr>
                <w:b/>
                <w:spacing w:val="-2"/>
                <w:sz w:val="24"/>
              </w:rPr>
              <w:t xml:space="preserve">Житло</w:t>
            </w:r>
            <w:r>
              <w:rPr>
                <w:b/>
                <w:bCs/>
                <w:spacing w:val="-2"/>
                <w:sz w:val="24"/>
                <w:szCs w:val="24"/>
                <w:highlight w:val="none"/>
              </w:rPr>
            </w:r>
            <w:r>
              <w:rPr>
                <w:b/>
                <w:bCs/>
                <w:spacing w:val="-2"/>
                <w:sz w:val="24"/>
                <w:szCs w:val="24"/>
                <w:highlight w:val="none"/>
              </w:rPr>
            </w:r>
          </w:p>
          <w:p w14:paraId="787E0994">
            <w:pPr>
              <w:pStyle w:val="973"/>
              <w:pBdr/>
              <w:spacing w:before="26" w:line="259" w:lineRule="auto"/>
              <w:ind w:right="538" w:firstLine="0"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Структурний підрозділ,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відповідальний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за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галузь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(сектор)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для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публічного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інвестування –</w:t>
            </w:r>
            <w:r>
              <w:rPr>
                <w:spacing w:val="-3"/>
                <w:sz w:val="24"/>
                <w:szCs w:val="24"/>
              </w:rPr>
              <w:t xml:space="preserve"> Відділ соціально-економічного розвитку та інвестицій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75"/>
              <w:pBdr/>
              <w:spacing/>
              <w:ind w:left="40"/>
              <w:jc w:val="left"/>
              <w:rPr>
                <w:b/>
                <w:bCs/>
                <w:spacing w:val="-4"/>
                <w:sz w:val="24"/>
                <w:szCs w:val="24"/>
                <w:highlight w:val="none"/>
              </w:rPr>
            </w:pPr>
            <w:r>
              <w:rPr>
                <w:sz w:val="24"/>
              </w:rPr>
              <w:t xml:space="preserve">Граничний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сукупний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обсяг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публічних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інвестицій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середньостроковий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період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галузь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(сектор)</w:t>
            </w:r>
            <w:r>
              <w:rPr>
                <w:spacing w:val="-3"/>
                <w:sz w:val="24"/>
              </w:rPr>
              <w:t xml:space="preserve">   </w:t>
            </w:r>
            <w:r>
              <w:rPr>
                <w:b/>
                <w:spacing w:val="-3"/>
                <w:sz w:val="24"/>
                <w:highlight w:val="none"/>
              </w:rPr>
              <w:t xml:space="preserve">  </w:t>
            </w:r>
            <w:r>
              <w:rPr>
                <w:b/>
                <w:sz w:val="24"/>
              </w:rPr>
              <w:t xml:space="preserve">306,6   тис.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 xml:space="preserve">грн.</w:t>
            </w:r>
            <w:r>
              <w:rPr>
                <w:b/>
                <w:bCs/>
                <w:spacing w:val="-4"/>
                <w:sz w:val="24"/>
                <w:szCs w:val="24"/>
                <w:highlight w:val="none"/>
              </w:rPr>
            </w:r>
            <w:r>
              <w:rPr>
                <w:b/>
                <w:bCs/>
                <w:spacing w:val="-4"/>
                <w:sz w:val="24"/>
                <w:szCs w:val="24"/>
                <w:highlight w:val="none"/>
              </w:rPr>
            </w:r>
          </w:p>
          <w:p w14:paraId="554B924B">
            <w:pPr>
              <w:pStyle w:val="975"/>
              <w:pBdr/>
              <w:spacing/>
              <w:ind w:left="4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spacing w:val="-4"/>
                <w:sz w:val="24"/>
                <w:highlight w:val="none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>
          <w:trHeight w:val="1005"/>
        </w:trPr>
        <w:tc>
          <w:tcPr>
            <w:tcBorders/>
            <w:tcW w:w="2100" w:type="dxa"/>
            <w:textDirection w:val="lrTb"/>
            <w:noWrap w:val="false"/>
          </w:tcPr>
          <w:p>
            <w:pPr>
              <w:pStyle w:val="975"/>
              <w:pBdr/>
              <w:spacing/>
              <w:ind w:right="10" w:left="30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u w:val="none"/>
              </w:rPr>
              <w:t xml:space="preserve">Житло для внутрішньо переміщених осіб (ВПО)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та пільгових категорій населення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/>
            <w:tcW w:w="3180" w:type="dxa"/>
            <w:textDirection w:val="lrTb"/>
            <w:noWrap w:val="false"/>
          </w:tcPr>
          <w:p>
            <w:pPr>
              <w:pStyle w:val="975"/>
              <w:pBdr/>
              <w:spacing/>
              <w:ind w:firstLine="346" w:left="73"/>
              <w:jc w:val="left"/>
              <w:rPr>
                <w:sz w:val="24"/>
              </w:rPr>
            </w:pPr>
            <w:r>
              <w:rPr>
                <w:sz w:val="24"/>
              </w:rPr>
              <w:t xml:space="preserve">Створення та розвиток соціального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орендного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житла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/>
            <w:tcW w:w="4335" w:type="dxa"/>
            <w:textDirection w:val="lrTb"/>
            <w:noWrap w:val="false"/>
          </w:tcPr>
          <w:p>
            <w:pPr>
              <w:pStyle w:val="975"/>
              <w:pBdr/>
              <w:spacing/>
              <w:ind w:right="136" w:left="159"/>
              <w:rPr>
                <w:sz w:val="24"/>
              </w:rPr>
            </w:pPr>
            <w:r>
              <w:rPr>
                <w:sz w:val="24"/>
              </w:rPr>
              <w:t xml:space="preserve">Рівень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забезпечення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соціальним житлом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u w:val="none"/>
              </w:rPr>
              <w:t xml:space="preserve">внутрішньо переміщених осіб (ВПО)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та пільгових категорій населення</w:t>
            </w:r>
            <w:r>
              <w:rPr>
                <w:sz w:val="24"/>
              </w:rPr>
              <w:t xml:space="preserve">, які потребують такого житла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/>
            <w:tcW w:w="1215" w:type="dxa"/>
            <w:textDirection w:val="lrTb"/>
            <w:noWrap w:val="false"/>
          </w:tcPr>
          <w:p>
            <w:pPr>
              <w:pStyle w:val="975"/>
              <w:pBdr/>
              <w:spacing/>
              <w:ind w:right="60" w:left="7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5%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/>
            <w:tcW w:w="1320" w:type="dxa"/>
            <w:textDirection w:val="lrTb"/>
            <w:noWrap w:val="false"/>
          </w:tcPr>
          <w:p>
            <w:pPr>
              <w:pStyle w:val="975"/>
              <w:pBdr/>
              <w:spacing/>
              <w:ind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10%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6" w:space="0"/>
              <w:bottom w:val="single" w:color="cccccc" w:sz="8" w:space="0"/>
              <w:right w:val="single" w:color="000000" w:sz="4" w:space="0"/>
            </w:tcBorders>
            <w:tcW w:w="1365" w:type="dxa"/>
            <w:textDirection w:val="lrTb"/>
            <w:noWrap w:val="false"/>
          </w:tcPr>
          <w:p>
            <w:pPr>
              <w:pStyle w:val="975"/>
              <w:pBdr/>
              <w:spacing/>
              <w:ind w:left="1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20%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4" w:space="0"/>
              <w:bottom w:val="single" w:color="cccccc" w:sz="8" w:space="0"/>
              <w:right w:val="single" w:color="000000" w:sz="4" w:space="0"/>
            </w:tcBorders>
            <w:tcW w:w="1200" w:type="dxa"/>
            <w:textDirection w:val="lrTb"/>
            <w:noWrap w:val="false"/>
          </w:tcPr>
          <w:p>
            <w:pPr>
              <w:pStyle w:val="975"/>
              <w:pBdr/>
              <w:spacing/>
              <w:ind w:left="0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       30%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rPr>
          <w:trHeight w:val="1005"/>
        </w:trPr>
        <w:tc>
          <w:tcPr>
            <w:tcBorders/>
            <w:tcW w:w="2100" w:type="dxa"/>
            <w:vMerge w:val="restart"/>
            <w:textDirection w:val="lrTb"/>
            <w:noWrap w:val="false"/>
          </w:tcPr>
          <w:p w14:paraId="2AC5A1BA">
            <w:pPr>
              <w:pStyle w:val="975"/>
              <w:pBdr/>
              <w:spacing/>
              <w:ind w:right="10" w:left="30"/>
              <w:rPr>
                <w:rFonts w:ascii="Times New Roman" w:hAnsi="Times New Roman" w:cs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u w:val="none"/>
              </w:rPr>
              <w:t xml:space="preserve">Модернізація та енергоефективність існуючого житла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</w:rPr>
            </w:r>
          </w:p>
        </w:tc>
        <w:tc>
          <w:tcPr>
            <w:tcBorders/>
            <w:tcW w:w="3180" w:type="dxa"/>
            <w:vMerge w:val="restart"/>
            <w:textDirection w:val="lrTb"/>
            <w:noWrap w:val="false"/>
          </w:tcPr>
          <w:p w14:paraId="3EC0EF71">
            <w:pPr>
              <w:pStyle w:val="975"/>
              <w:pBdr/>
              <w:spacing/>
              <w:ind w:firstLine="346" w:left="73"/>
              <w:jc w:val="center"/>
              <w:rPr>
                <w:rFonts w:ascii="Times New Roman" w:hAnsi="Times New Roman" w:cs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</w:rPr>
              <w:t xml:space="preserve">Забезпечення </w:t>
            </w:r>
            <w:r>
              <w:t xml:space="preserve">модернізації, термомодернізації, встановлення індивідуальних теплових пунктів, заміна мереж існуючого житла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</w:rPr>
            </w:r>
          </w:p>
        </w:tc>
        <w:tc>
          <w:tcPr>
            <w:tcBorders/>
            <w:tcW w:w="4335" w:type="dxa"/>
            <w:vMerge w:val="restart"/>
            <w:textDirection w:val="lrTb"/>
            <w:noWrap w:val="false"/>
          </w:tcPr>
          <w:p w14:paraId="00023428">
            <w:pPr>
              <w:pStyle w:val="975"/>
              <w:pBdr/>
              <w:spacing/>
              <w:ind w:right="136" w:left="159"/>
              <w:rPr>
                <w:rFonts w:ascii="Times New Roman" w:hAnsi="Times New Roman" w:cs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</w:rPr>
              <w:t xml:space="preserve">Частка модернізованих   багатоквартирних житлових будинків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</w:rPr>
            </w:r>
          </w:p>
        </w:tc>
        <w:tc>
          <w:tcPr>
            <w:tcBorders/>
            <w:tcW w:w="1215" w:type="dxa"/>
            <w:vMerge w:val="restart"/>
            <w:textDirection w:val="lrTb"/>
            <w:noWrap w:val="false"/>
          </w:tcPr>
          <w:p w14:paraId="000E967D">
            <w:pPr>
              <w:pStyle w:val="975"/>
              <w:pBdr/>
              <w:spacing/>
              <w:ind w:right="60" w:left="79"/>
              <w:rPr>
                <w:rFonts w:ascii="Times New Roman" w:hAnsi="Times New Roman" w:cs="Times New Roman"/>
                <w:b w:val="0"/>
                <w:bCs w:val="0"/>
                <w:spacing w:val="-2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pacing w:val="-2"/>
                <w:sz w:val="24"/>
              </w:rPr>
              <w:t xml:space="preserve">0%</w:t>
            </w:r>
            <w:r>
              <w:rPr>
                <w:rFonts w:ascii="Times New Roman" w:hAnsi="Times New Roman" w:cs="Times New Roman"/>
                <w:b w:val="0"/>
                <w:bCs w:val="0"/>
                <w:spacing w:val="-2"/>
                <w:sz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pacing w:val="-2"/>
                <w:sz w:val="24"/>
              </w:rPr>
            </w:r>
          </w:p>
        </w:tc>
        <w:tc>
          <w:tcPr>
            <w:tcBorders/>
            <w:tcW w:w="1320" w:type="dxa"/>
            <w:vMerge w:val="restart"/>
            <w:textDirection w:val="lrTb"/>
            <w:noWrap w:val="false"/>
          </w:tcPr>
          <w:p w14:paraId="677F4ECE">
            <w:pPr>
              <w:pStyle w:val="975"/>
              <w:pBdr/>
              <w:spacing/>
              <w:ind/>
              <w:rPr>
                <w:rFonts w:ascii="Times New Roman" w:hAnsi="Times New Roman" w:cs="Times New Roman"/>
                <w:b w:val="0"/>
                <w:bCs w:val="0"/>
                <w:spacing w:val="-2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pacing w:val="-2"/>
                <w:sz w:val="24"/>
              </w:rPr>
              <w:t xml:space="preserve">5%</w:t>
            </w:r>
            <w:r>
              <w:rPr>
                <w:rFonts w:ascii="Times New Roman" w:hAnsi="Times New Roman" w:cs="Times New Roman"/>
                <w:b w:val="0"/>
                <w:bCs w:val="0"/>
                <w:spacing w:val="-2"/>
                <w:sz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pacing w:val="-2"/>
                <w:sz w:val="24"/>
              </w:rPr>
            </w:r>
          </w:p>
        </w:tc>
        <w:tc>
          <w:tcPr>
            <w:tcBorders>
              <w:top w:val="single" w:color="000000" w:sz="6" w:space="0"/>
              <w:bottom w:val="single" w:color="cccccc" w:sz="8" w:space="0"/>
              <w:right w:val="single" w:color="000000" w:sz="4" w:space="0"/>
            </w:tcBorders>
            <w:tcW w:w="1365" w:type="dxa"/>
            <w:vMerge w:val="restart"/>
            <w:textDirection w:val="lrTb"/>
            <w:noWrap w:val="false"/>
          </w:tcPr>
          <w:p w14:paraId="242FB086">
            <w:pPr>
              <w:pStyle w:val="975"/>
              <w:pBdr/>
              <w:spacing/>
              <w:ind w:left="14"/>
              <w:rPr>
                <w:rFonts w:ascii="Times New Roman" w:hAnsi="Times New Roman" w:cs="Times New Roman"/>
                <w:b w:val="0"/>
                <w:bCs w:val="0"/>
                <w:spacing w:val="-2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pacing w:val="-2"/>
                <w:sz w:val="24"/>
              </w:rPr>
              <w:t xml:space="preserve">10%</w:t>
            </w:r>
            <w:r>
              <w:rPr>
                <w:rFonts w:ascii="Times New Roman" w:hAnsi="Times New Roman" w:cs="Times New Roman"/>
                <w:b w:val="0"/>
                <w:bCs w:val="0"/>
                <w:spacing w:val="-2"/>
                <w:sz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pacing w:val="-2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4" w:space="0"/>
              <w:bottom w:val="single" w:color="cccccc" w:sz="8" w:space="0"/>
              <w:right w:val="single" w:color="000000" w:sz="4" w:space="0"/>
            </w:tcBorders>
            <w:tcW w:w="1200" w:type="dxa"/>
            <w:vMerge w:val="restart"/>
            <w:textDirection w:val="lrTb"/>
            <w:noWrap w:val="false"/>
          </w:tcPr>
          <w:p w14:paraId="18BF24B7">
            <w:pPr>
              <w:pStyle w:val="975"/>
              <w:pBdr/>
              <w:spacing/>
              <w:ind w:left="0"/>
              <w:jc w:val="left"/>
              <w:rPr>
                <w:rFonts w:ascii="Times New Roman" w:hAnsi="Times New Roman" w:cs="Times New Roman"/>
                <w:b w:val="0"/>
                <w:bCs w:val="0"/>
                <w:spacing w:val="-2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pacing w:val="-2"/>
                <w:sz w:val="24"/>
              </w:rPr>
              <w:t xml:space="preserve">20%</w:t>
            </w:r>
            <w:r>
              <w:rPr>
                <w:rFonts w:ascii="Times New Roman" w:hAnsi="Times New Roman" w:cs="Times New Roman"/>
                <w:b w:val="0"/>
                <w:bCs w:val="0"/>
                <w:spacing w:val="-2"/>
                <w:sz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pacing w:val="-2"/>
                <w:sz w:val="24"/>
              </w:rPr>
            </w:r>
          </w:p>
        </w:tc>
      </w:tr>
      <w:tr>
        <w:trPr>
          <w:trHeight w:val="1005"/>
        </w:trPr>
        <w:tc>
          <w:tcPr>
            <w:tcBorders/>
            <w:tcW w:w="2100" w:type="dxa"/>
            <w:vMerge w:val="restart"/>
            <w:textDirection w:val="lrTb"/>
            <w:noWrap w:val="false"/>
          </w:tcPr>
          <w:p w14:paraId="5240EF25">
            <w:pPr>
              <w:pStyle w:val="975"/>
              <w:pBdr/>
              <w:spacing/>
              <w:ind w:right="10" w:left="30"/>
              <w:rPr>
                <w:rFonts w:ascii="Times New Roman" w:hAnsi="Times New Roman" w:eastAsia="Times New Roman" w:cs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</w:rPr>
              <w:t xml:space="preserve">Житлові рішення та відновлення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</w:rPr>
            </w:r>
          </w:p>
        </w:tc>
        <w:tc>
          <w:tcPr>
            <w:tcBorders/>
            <w:tcW w:w="3180" w:type="dxa"/>
            <w:vMerge w:val="restart"/>
            <w:textDirection w:val="lrTb"/>
            <w:noWrap w:val="false"/>
          </w:tcPr>
          <w:p w14:paraId="1F8DD816">
            <w:pPr>
              <w:pStyle w:val="975"/>
              <w:pBdr/>
              <w:spacing/>
              <w:ind w:firstLine="346" w:left="73"/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</w:rPr>
            </w:r>
            <w:r>
              <w:t xml:space="preserve">Капітальні та аварійні ремонти / реконструкція багатоквартирних житлових будинків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</w:rPr>
            </w:r>
          </w:p>
        </w:tc>
        <w:tc>
          <w:tcPr>
            <w:tcBorders/>
            <w:tcW w:w="4335" w:type="dxa"/>
            <w:vMerge w:val="restart"/>
            <w:textDirection w:val="lrTb"/>
            <w:noWrap w:val="false"/>
          </w:tcPr>
          <w:p w14:paraId="1FA58059">
            <w:pPr>
              <w:pStyle w:val="975"/>
              <w:pBdr/>
              <w:spacing/>
              <w:ind w:right="136" w:left="159"/>
              <w:rPr>
                <w:rFonts w:ascii="Times New Roman" w:hAnsi="Times New Roman" w:cs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</w:rPr>
              <w:t xml:space="preserve">Частка відремонтованих  багатоквартирних житлових будинків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</w:rPr>
            </w:r>
          </w:p>
          <w:p w14:paraId="51FDB438">
            <w:pPr>
              <w:pStyle w:val="975"/>
              <w:pBdr/>
              <w:spacing/>
              <w:ind w:right="136" w:left="159"/>
              <w:rPr>
                <w:rFonts w:ascii="Times New Roman" w:hAnsi="Times New Roman" w:eastAsia="Times New Roman" w:cs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</w:rPr>
            </w:r>
          </w:p>
        </w:tc>
        <w:tc>
          <w:tcPr>
            <w:tcBorders/>
            <w:tcW w:w="1215" w:type="dxa"/>
            <w:vMerge w:val="restart"/>
            <w:textDirection w:val="lrTb"/>
            <w:noWrap w:val="false"/>
          </w:tcPr>
          <w:p w14:paraId="6001DDE6">
            <w:pPr>
              <w:pStyle w:val="975"/>
              <w:pBdr/>
              <w:spacing/>
              <w:ind w:right="60" w:left="79"/>
              <w:rPr>
                <w:rFonts w:ascii="Times New Roman" w:hAnsi="Times New Roman" w:cs="Times New Roman"/>
                <w:b w:val="0"/>
                <w:bCs w:val="0"/>
                <w:spacing w:val="-2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pacing w:val="-2"/>
                <w:sz w:val="24"/>
              </w:rPr>
              <w:t xml:space="preserve">0%</w:t>
            </w:r>
            <w:r>
              <w:rPr>
                <w:rFonts w:ascii="Times New Roman" w:hAnsi="Times New Roman" w:cs="Times New Roman"/>
                <w:b w:val="0"/>
                <w:bCs w:val="0"/>
                <w:spacing w:val="-2"/>
                <w:sz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pacing w:val="-2"/>
                <w:sz w:val="24"/>
              </w:rPr>
            </w:r>
          </w:p>
        </w:tc>
        <w:tc>
          <w:tcPr>
            <w:tcBorders/>
            <w:tcW w:w="1320" w:type="dxa"/>
            <w:vMerge w:val="restart"/>
            <w:textDirection w:val="lrTb"/>
            <w:noWrap w:val="false"/>
          </w:tcPr>
          <w:p w14:paraId="7C5AA8DA">
            <w:pPr>
              <w:pStyle w:val="975"/>
              <w:pBdr/>
              <w:spacing/>
              <w:ind/>
              <w:rPr>
                <w:rFonts w:ascii="Times New Roman" w:hAnsi="Times New Roman" w:cs="Times New Roman"/>
                <w:b w:val="0"/>
                <w:bCs w:val="0"/>
                <w:spacing w:val="-2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pacing w:val="-2"/>
                <w:sz w:val="24"/>
              </w:rPr>
              <w:t xml:space="preserve">5%</w:t>
            </w:r>
            <w:r>
              <w:rPr>
                <w:rFonts w:ascii="Times New Roman" w:hAnsi="Times New Roman" w:cs="Times New Roman"/>
                <w:b w:val="0"/>
                <w:bCs w:val="0"/>
                <w:spacing w:val="-2"/>
                <w:sz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pacing w:val="-2"/>
                <w:sz w:val="24"/>
              </w:rPr>
            </w:r>
          </w:p>
        </w:tc>
        <w:tc>
          <w:tcPr>
            <w:tcBorders>
              <w:top w:val="single" w:color="000000" w:sz="6" w:space="0"/>
              <w:bottom w:val="single" w:color="cccccc" w:sz="8" w:space="0"/>
              <w:right w:val="single" w:color="000000" w:sz="4" w:space="0"/>
            </w:tcBorders>
            <w:tcW w:w="1365" w:type="dxa"/>
            <w:vMerge w:val="restart"/>
            <w:textDirection w:val="lrTb"/>
            <w:noWrap w:val="false"/>
          </w:tcPr>
          <w:p w14:paraId="484BE114">
            <w:pPr>
              <w:pStyle w:val="975"/>
              <w:pBdr/>
              <w:spacing/>
              <w:ind w:left="14"/>
              <w:rPr>
                <w:rFonts w:ascii="Times New Roman" w:hAnsi="Times New Roman" w:cs="Times New Roman"/>
                <w:b w:val="0"/>
                <w:bCs w:val="0"/>
                <w:spacing w:val="-2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pacing w:val="-2"/>
                <w:sz w:val="24"/>
              </w:rPr>
              <w:t xml:space="preserve">10%</w:t>
            </w:r>
            <w:r>
              <w:rPr>
                <w:rFonts w:ascii="Times New Roman" w:hAnsi="Times New Roman" w:cs="Times New Roman"/>
                <w:b w:val="0"/>
                <w:bCs w:val="0"/>
                <w:spacing w:val="-2"/>
                <w:sz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pacing w:val="-2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4" w:space="0"/>
              <w:bottom w:val="single" w:color="cccccc" w:sz="8" w:space="0"/>
              <w:right w:val="single" w:color="000000" w:sz="4" w:space="0"/>
            </w:tcBorders>
            <w:tcW w:w="1200" w:type="dxa"/>
            <w:vMerge w:val="restart"/>
            <w:textDirection w:val="lrTb"/>
            <w:noWrap w:val="false"/>
          </w:tcPr>
          <w:p w14:paraId="350EB9EE">
            <w:pPr>
              <w:pStyle w:val="975"/>
              <w:pBdr/>
              <w:spacing/>
              <w:ind w:left="0"/>
              <w:jc w:val="left"/>
              <w:rPr>
                <w:rFonts w:ascii="Times New Roman" w:hAnsi="Times New Roman" w:cs="Times New Roman"/>
                <w:b w:val="0"/>
                <w:bCs w:val="0"/>
                <w:spacing w:val="-2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pacing w:val="-2"/>
                <w:sz w:val="24"/>
              </w:rPr>
              <w:t xml:space="preserve">20%</w:t>
            </w:r>
            <w:r>
              <w:rPr>
                <w:rFonts w:ascii="Times New Roman" w:hAnsi="Times New Roman" w:cs="Times New Roman"/>
                <w:b w:val="0"/>
                <w:bCs w:val="0"/>
                <w:spacing w:val="-2"/>
                <w:sz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pacing w:val="-2"/>
                <w:sz w:val="24"/>
              </w:rPr>
            </w:r>
          </w:p>
        </w:tc>
      </w:tr>
      <w:tr>
        <w:trPr>
          <w:trHeight w:val="855"/>
        </w:trPr>
        <w:tc>
          <w:tcPr>
            <w:gridSpan w:val="7"/>
            <w:tcBorders>
              <w:left w:val="single" w:color="cccccc" w:sz="8" w:space="0"/>
            </w:tcBorders>
            <w:tcW w:w="14715" w:type="dxa"/>
            <w:textDirection w:val="lrTb"/>
            <w:noWrap w:val="false"/>
          </w:tcPr>
          <w:p w14:paraId="53EED3CC">
            <w:pPr>
              <w:pStyle w:val="975"/>
              <w:pBdr/>
              <w:spacing/>
              <w:ind w:right="0" w:firstLine="0" w:left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highlight w:val="none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  <w:p w14:paraId="3EA4E438">
            <w:pPr>
              <w:pStyle w:val="975"/>
              <w:pBdr/>
              <w:spacing/>
              <w:ind w:right="0" w:firstLine="0" w:left="0"/>
              <w:jc w:val="left"/>
              <w:rPr>
                <w:b/>
                <w:bCs/>
                <w:sz w:val="24"/>
                <w:szCs w:val="24"/>
                <w:highlight w:val="none"/>
              </w:rPr>
            </w:pPr>
            <w:r>
              <w:rPr>
                <w:sz w:val="24"/>
              </w:rPr>
              <w:t xml:space="preserve">Пріоритетна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галузь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(сектор)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публічного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інвестування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Муніципальна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інфраструктура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послуги </w:t>
            </w:r>
            <w:r>
              <w:rPr>
                <w:b/>
                <w:bCs/>
                <w:sz w:val="24"/>
                <w:szCs w:val="24"/>
                <w:highlight w:val="none"/>
              </w:rPr>
            </w:r>
            <w:r>
              <w:rPr>
                <w:b/>
                <w:bCs/>
                <w:sz w:val="24"/>
                <w:szCs w:val="24"/>
                <w:highlight w:val="none"/>
              </w:rPr>
            </w:r>
          </w:p>
          <w:p w14:paraId="27A5A120">
            <w:pPr>
              <w:pStyle w:val="975"/>
              <w:pBdr/>
              <w:spacing/>
              <w:ind w:right="0" w:firstLine="0" w:left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Структурний підрозділ відповідальний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за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галузь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(сектор)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для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публічного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інвестування</w:t>
            </w:r>
            <w:r>
              <w:rPr>
                <w:sz w:val="24"/>
                <w:szCs w:val="24"/>
              </w:rPr>
              <w:t xml:space="preserve"> –</w:t>
            </w:r>
            <w:r>
              <w:rPr>
                <w:sz w:val="24"/>
                <w:szCs w:val="24"/>
              </w:rPr>
              <w:t xml:space="preserve"> </w:t>
            </w:r>
            <w:hyperlink r:id="rId15" w:tooltip="https://krasnograd-rada.gov.ua/viddil-zhytlovo-komunalnoho-hospodarstva-blahoustroyu-ekonomichnoho-ta-infrastrukturnoho-rozvytku/" w:history="1">
              <w:r>
                <w:rPr>
                  <w:rStyle w:val="955"/>
                  <w:bCs/>
                  <w:color w:val="auto"/>
                  <w:sz w:val="24"/>
                  <w:szCs w:val="24"/>
                  <w:u w:val="none"/>
                </w:rPr>
                <w:t xml:space="preserve">Відділ житлово-комунального господарства та благоустрою</w:t>
              </w:r>
            </w:hyperlink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75"/>
              <w:pBdr/>
              <w:spacing/>
              <w:ind w:left="40"/>
              <w:jc w:val="left"/>
              <w:rPr>
                <w:b/>
                <w:bCs/>
                <w:spacing w:val="-4"/>
                <w:sz w:val="24"/>
                <w:szCs w:val="24"/>
                <w:highlight w:val="none"/>
              </w:rPr>
            </w:pPr>
            <w:r>
              <w:rPr>
                <w:sz w:val="24"/>
              </w:rPr>
              <w:t xml:space="preserve">Граничний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сукупний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обсяг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публічних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інвестицій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середньостроковий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період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галузь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(сектор)</w:t>
            </w:r>
            <w:r>
              <w:rPr>
                <w:spacing w:val="-3"/>
                <w:sz w:val="24"/>
              </w:rPr>
              <w:t xml:space="preserve"> -  </w:t>
            </w:r>
            <w:r>
              <w:rPr>
                <w:b/>
                <w:sz w:val="24"/>
              </w:rPr>
              <w:t xml:space="preserve">306,8   тис.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 xml:space="preserve">грн.</w:t>
            </w:r>
            <w:r>
              <w:rPr>
                <w:b/>
                <w:bCs/>
                <w:spacing w:val="-4"/>
                <w:sz w:val="24"/>
                <w:szCs w:val="24"/>
                <w:highlight w:val="none"/>
              </w:rPr>
            </w:r>
            <w:r>
              <w:rPr>
                <w:b/>
                <w:bCs/>
                <w:spacing w:val="-4"/>
                <w:sz w:val="24"/>
                <w:szCs w:val="24"/>
                <w:highlight w:val="none"/>
              </w:rPr>
            </w:r>
          </w:p>
          <w:p w14:paraId="68EF2F2A">
            <w:pPr>
              <w:pStyle w:val="975"/>
              <w:pBdr/>
              <w:spacing/>
              <w:ind w:left="4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spacing w:val="-4"/>
                <w:sz w:val="24"/>
                <w:highlight w:val="none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</w:tbl>
    <w:tbl>
      <w:tblPr>
        <w:tblInd w:w="83" w:type="dxa"/>
        <w:tblW w:w="0" w:type="auto"/>
        <w:tblCellMar>
          <w:left w:w="0" w:type="dxa"/>
          <w:top w:w="0" w:type="dxa"/>
          <w:right w:w="0" w:type="dxa"/>
          <w:bottom w:w="0" w:type="dxa"/>
        </w:tblCellMar>
        <w:tblBorders>
          <w:top w:val="single" w:color="cccccc" w:sz="8" w:space="0"/>
          <w:left w:val="single" w:color="cccccc" w:sz="8" w:space="0"/>
          <w:bottom w:val="single" w:color="cccccc" w:sz="8" w:space="0"/>
          <w:right w:val="single" w:color="cccccc" w:sz="8" w:space="0"/>
          <w:insideH w:val="single" w:color="cccccc" w:sz="8" w:space="0"/>
          <w:insideV w:val="single" w:color="cccccc" w:sz="8" w:space="0"/>
        </w:tblBorders>
        <w:tblLayout w:type="fixed"/>
        <w:tblLook w:val="01E0" w:firstRow="1" w:lastRow="1" w:firstColumn="1" w:lastColumn="1" w:noHBand="0" w:noVBand="0"/>
      </w:tblPr>
      <w:tblGrid>
        <w:gridCol w:w="2100"/>
        <w:gridCol w:w="3180"/>
        <w:gridCol w:w="4335"/>
        <w:gridCol w:w="1215"/>
        <w:gridCol w:w="1320"/>
        <w:gridCol w:w="1365"/>
        <w:gridCol w:w="1200"/>
      </w:tblGrid>
      <w:tr>
        <w:trPr>
          <w:trHeight w:val="645"/>
        </w:trPr>
        <w:tc>
          <w:tcPr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W w:w="2100" w:type="dxa"/>
            <w:vMerge w:val="restart"/>
            <w:textDirection w:val="lrTb"/>
            <w:noWrap w:val="false"/>
          </w:tcPr>
          <w:p>
            <w:pPr>
              <w:pStyle w:val="975"/>
              <w:pBdr/>
              <w:spacing/>
              <w:ind w:right="48" w:hanging="181" w:left="253"/>
              <w:jc w:val="left"/>
              <w:rPr>
                <w:sz w:val="24"/>
              </w:rPr>
            </w:pPr>
            <w:r>
              <w:rPr>
                <w:sz w:val="24"/>
              </w:rPr>
              <w:t xml:space="preserve">Водопостачання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та </w:t>
            </w:r>
            <w:r>
              <w:rPr>
                <w:spacing w:val="-2"/>
                <w:sz w:val="24"/>
              </w:rPr>
              <w:t xml:space="preserve">водовідведення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180" w:type="dxa"/>
            <w:vMerge w:val="restart"/>
            <w:textDirection w:val="lrTb"/>
            <w:noWrap w:val="false"/>
          </w:tcPr>
          <w:p>
            <w:pPr>
              <w:pStyle w:val="975"/>
              <w:pBdr/>
              <w:spacing/>
              <w:ind w:right="68" w:firstLine="1" w:left="89"/>
              <w:rPr>
                <w:sz w:val="24"/>
              </w:rPr>
            </w:pPr>
            <w:r>
              <w:rPr>
                <w:sz w:val="24"/>
              </w:rPr>
              <w:t xml:space="preserve">Відновлення, розвиток та модернізація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інфраструктури </w:t>
            </w:r>
            <w:r>
              <w:rPr>
                <w:spacing w:val="-2"/>
                <w:sz w:val="24"/>
              </w:rPr>
              <w:t xml:space="preserve">централізованого </w:t>
            </w:r>
            <w:r>
              <w:rPr>
                <w:sz w:val="24"/>
              </w:rPr>
              <w:t xml:space="preserve">водопостачання та водовідведення,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тому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числі з впровадженням альтернативних джерел </w:t>
            </w:r>
            <w:r>
              <w:rPr>
                <w:spacing w:val="-2"/>
                <w:sz w:val="24"/>
              </w:rPr>
              <w:t xml:space="preserve">енергії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4335" w:type="dxa"/>
            <w:textDirection w:val="lrTb"/>
            <w:noWrap w:val="false"/>
          </w:tcPr>
          <w:p w14:paraId="2D3EE694">
            <w:pPr>
              <w:pStyle w:val="975"/>
              <w:pBdr/>
              <w:spacing w:line="270" w:lineRule="atLeast"/>
              <w:ind w:right="364" w:hanging="1" w:left="387"/>
              <w:rPr>
                <w:sz w:val="24"/>
              </w:rPr>
            </w:pPr>
            <w:r>
              <w:rPr>
                <w:sz w:val="24"/>
              </w:rPr>
              <w:t xml:space="preserve">Скорочення питомого електроспоживання підприємств водопостачання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водовідведення (зростаючим підсумком)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215" w:type="dxa"/>
            <w:textDirection w:val="lrTb"/>
            <w:noWrap w:val="false"/>
          </w:tcPr>
          <w:p w14:paraId="7196D807">
            <w:pPr>
              <w:pStyle w:val="975"/>
              <w:pBdr/>
              <w:spacing/>
              <w:ind w:right="60" w:left="79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10%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320" w:type="dxa"/>
            <w:textDirection w:val="lrTb"/>
            <w:noWrap w:val="false"/>
          </w:tcPr>
          <w:p w14:paraId="5CAC3C59">
            <w:pPr>
              <w:pStyle w:val="975"/>
              <w:pBdr/>
              <w:spacing/>
              <w:ind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20%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8" w:space="0"/>
              <w:bottom w:val="single" w:color="000000" w:sz="6" w:space="0"/>
              <w:right w:val="single" w:color="000000" w:sz="4" w:space="0"/>
            </w:tcBorders>
            <w:tcW w:w="1365" w:type="dxa"/>
            <w:textDirection w:val="lrTb"/>
            <w:noWrap w:val="false"/>
          </w:tcPr>
          <w:p w14:paraId="6CC8BE10">
            <w:pPr>
              <w:pStyle w:val="975"/>
              <w:pBdr/>
              <w:spacing/>
              <w:ind w:left="14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25%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tcW w:w="1200" w:type="dxa"/>
            <w:textDirection w:val="lrTb"/>
            <w:noWrap w:val="false"/>
          </w:tcPr>
          <w:p w14:paraId="4A9550AE">
            <w:pPr>
              <w:pStyle w:val="975"/>
              <w:pBdr/>
              <w:spacing/>
              <w:ind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30%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rPr>
          <w:trHeight w:val="660"/>
        </w:trPr>
        <w:tc>
          <w:tcPr>
            <w:tcBorders>
              <w:top w:val="none" w:color="000000" w:sz="4" w:space="0"/>
              <w:bottom w:val="single" w:color="000000" w:sz="8" w:space="0"/>
              <w:right w:val="single" w:color="000000" w:sz="8" w:space="0"/>
            </w:tcBorders>
            <w:tcW w:w="2100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180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4335" w:type="dxa"/>
            <w:textDirection w:val="lrTb"/>
            <w:noWrap w:val="false"/>
          </w:tcPr>
          <w:p>
            <w:pPr>
              <w:pStyle w:val="975"/>
              <w:pBdr/>
              <w:spacing/>
              <w:ind w:right="22" w:hanging="45" w:left="441"/>
              <w:jc w:val="left"/>
              <w:rPr>
                <w:sz w:val="24"/>
              </w:rPr>
            </w:pPr>
            <w:r>
              <w:rPr>
                <w:sz w:val="24"/>
              </w:rPr>
              <w:t xml:space="preserve">Розширення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доступу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населення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до якісного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питного </w:t>
            </w:r>
            <w:r>
              <w:rPr>
                <w:spacing w:val="-2"/>
                <w:sz w:val="24"/>
              </w:rPr>
              <w:t xml:space="preserve">водопостачання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215" w:type="dxa"/>
            <w:textDirection w:val="lrTb"/>
            <w:noWrap w:val="false"/>
          </w:tcPr>
          <w:p>
            <w:pPr>
              <w:pStyle w:val="975"/>
              <w:pBdr/>
              <w:spacing/>
              <w:ind w:right="60" w:left="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70%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320" w:type="dxa"/>
            <w:textDirection w:val="lrTb"/>
            <w:noWrap w:val="false"/>
          </w:tcPr>
          <w:p>
            <w:pPr>
              <w:pStyle w:val="975"/>
              <w:pBdr/>
              <w:spacing/>
              <w:ind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80%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8" w:space="0"/>
              <w:bottom w:val="single" w:color="000000" w:sz="6" w:space="0"/>
              <w:right w:val="single" w:color="000000" w:sz="4" w:space="0"/>
            </w:tcBorders>
            <w:tcW w:w="1365" w:type="dxa"/>
            <w:textDirection w:val="lrTb"/>
            <w:noWrap w:val="false"/>
          </w:tcPr>
          <w:p>
            <w:pPr>
              <w:pStyle w:val="975"/>
              <w:pBdr/>
              <w:spacing/>
              <w:ind w:left="14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85%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tcW w:w="1200" w:type="dxa"/>
            <w:textDirection w:val="lrTb"/>
            <w:noWrap w:val="false"/>
          </w:tcPr>
          <w:p>
            <w:pPr>
              <w:pStyle w:val="975"/>
              <w:pBdr/>
              <w:spacing/>
              <w:ind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96%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rPr>
          <w:trHeight w:val="600"/>
        </w:trPr>
        <w:tc>
          <w:tcPr>
            <w:tcBorders>
              <w:top w:val="none" w:color="000000" w:sz="4" w:space="0"/>
              <w:bottom w:val="single" w:color="000000" w:sz="8" w:space="0"/>
              <w:right w:val="single" w:color="000000" w:sz="8" w:space="0"/>
            </w:tcBorders>
            <w:tcW w:w="2100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180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4335" w:type="dxa"/>
            <w:textDirection w:val="lrTb"/>
            <w:noWrap w:val="false"/>
          </w:tcPr>
          <w:p>
            <w:pPr>
              <w:pStyle w:val="975"/>
              <w:pBdr/>
              <w:spacing/>
              <w:ind w:right="22" w:firstLine="130" w:left="292"/>
              <w:jc w:val="left"/>
              <w:rPr>
                <w:sz w:val="24"/>
              </w:rPr>
            </w:pPr>
            <w:r>
              <w:rPr>
                <w:sz w:val="24"/>
              </w:rPr>
              <w:t xml:space="preserve">Частка стічних вод, що проходять повний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цикл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біологічного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очищення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215" w:type="dxa"/>
            <w:textDirection w:val="lrTb"/>
            <w:noWrap w:val="false"/>
          </w:tcPr>
          <w:p>
            <w:pPr>
              <w:pStyle w:val="975"/>
              <w:pBdr/>
              <w:spacing/>
              <w:ind w:right="60" w:left="79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50%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320" w:type="dxa"/>
            <w:textDirection w:val="lrTb"/>
            <w:noWrap w:val="false"/>
          </w:tcPr>
          <w:p>
            <w:pPr>
              <w:pStyle w:val="975"/>
              <w:pBdr/>
              <w:spacing/>
              <w:ind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52%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8" w:space="0"/>
              <w:bottom w:val="single" w:color="000000" w:sz="6" w:space="0"/>
              <w:right w:val="single" w:color="000000" w:sz="4" w:space="0"/>
            </w:tcBorders>
            <w:tcW w:w="1365" w:type="dxa"/>
            <w:textDirection w:val="lrTb"/>
            <w:noWrap w:val="false"/>
          </w:tcPr>
          <w:p>
            <w:pPr>
              <w:pStyle w:val="975"/>
              <w:pBdr/>
              <w:spacing/>
              <w:ind w:left="14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56%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tcW w:w="1200" w:type="dxa"/>
            <w:textDirection w:val="lrTb"/>
            <w:noWrap w:val="false"/>
          </w:tcPr>
          <w:p>
            <w:pPr>
              <w:pStyle w:val="975"/>
              <w:pBdr/>
              <w:spacing/>
              <w:ind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60%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</w:tbl>
    <w:p>
      <w:pPr>
        <w:pStyle w:val="975"/>
        <w:pBdr/>
        <w:spacing w:after="0"/>
        <w:ind/>
        <w:rPr>
          <w:sz w:val="24"/>
        </w:rPr>
        <w:sectPr>
          <w:footnotePr/>
          <w:endnotePr/>
          <w:type w:val="continuous"/>
          <w:pgSz w:h="11910" w:orient="landscape" w:w="16840"/>
          <w:pgMar w:top="1280" w:right="708" w:bottom="1200" w:left="1275" w:header="0" w:footer="986" w:gutter="0"/>
          <w:cols w:num="1" w:sep="0" w:space="1701" w:equalWidth="1"/>
        </w:sect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tbl>
      <w:tblPr>
        <w:tblInd w:w="83" w:type="dxa"/>
        <w:tblW w:w="0" w:type="auto"/>
        <w:tblCellMar>
          <w:left w:w="0" w:type="dxa"/>
          <w:top w:w="0" w:type="dxa"/>
          <w:right w:w="0" w:type="dxa"/>
          <w:bottom w:w="0" w:type="dxa"/>
        </w:tblCellMar>
        <w:tblBorders>
          <w:top w:val="single" w:color="cccccc" w:sz="8" w:space="0"/>
          <w:left w:val="single" w:color="cccccc" w:sz="8" w:space="0"/>
          <w:bottom w:val="single" w:color="cccccc" w:sz="8" w:space="0"/>
          <w:right w:val="single" w:color="cccccc" w:sz="8" w:space="0"/>
          <w:insideH w:val="single" w:color="cccccc" w:sz="8" w:space="0"/>
          <w:insideV w:val="single" w:color="cccccc" w:sz="8" w:space="0"/>
        </w:tblBorders>
        <w:tblLayout w:type="fixed"/>
        <w:tblLook w:val="01E0" w:firstRow="1" w:lastRow="1" w:firstColumn="1" w:lastColumn="1" w:noHBand="0" w:noVBand="0"/>
      </w:tblPr>
      <w:tblGrid>
        <w:gridCol w:w="2100"/>
        <w:gridCol w:w="3180"/>
        <w:gridCol w:w="4335"/>
        <w:gridCol w:w="1215"/>
        <w:gridCol w:w="1320"/>
        <w:gridCol w:w="1365"/>
        <w:gridCol w:w="1200"/>
      </w:tblGrid>
      <w:tr>
        <w:trPr>
          <w:trHeight w:val="1931"/>
        </w:trPr>
        <w:tc>
          <w:tcPr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W w:w="2100" w:type="dxa"/>
            <w:textDirection w:val="lrTb"/>
            <w:noWrap w:val="false"/>
          </w:tcPr>
          <w:p>
            <w:pPr>
              <w:pStyle w:val="975"/>
              <w:pBdr/>
              <w:spacing/>
              <w:ind w:right="8" w:left="30"/>
              <w:rPr>
                <w:sz w:val="24"/>
              </w:rPr>
            </w:pPr>
            <w:r>
              <w:rPr>
                <w:sz w:val="24"/>
              </w:rPr>
              <w:t xml:space="preserve">Захисні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споруди </w:t>
            </w:r>
            <w:r>
              <w:rPr>
                <w:spacing w:val="-2"/>
                <w:sz w:val="24"/>
              </w:rPr>
              <w:t xml:space="preserve">об'єктів інфраструктур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180" w:type="dxa"/>
            <w:textDirection w:val="lrTb"/>
            <w:noWrap w:val="false"/>
          </w:tcPr>
          <w:p>
            <w:pPr>
              <w:pStyle w:val="975"/>
              <w:pBdr/>
              <w:spacing/>
              <w:ind w:right="12" w:left="34"/>
              <w:rPr>
                <w:sz w:val="24"/>
              </w:rPr>
            </w:pPr>
            <w:r>
              <w:rPr>
                <w:sz w:val="24"/>
              </w:rPr>
              <w:t xml:space="preserve">Відновлення,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модернізація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та захист об’єктів критичної інфраструктури для забезпечення їх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75"/>
              <w:pBdr/>
              <w:spacing w:line="270" w:lineRule="atLeast"/>
              <w:ind w:right="12" w:left="34"/>
              <w:rPr>
                <w:sz w:val="24"/>
              </w:rPr>
            </w:pPr>
            <w:r>
              <w:rPr>
                <w:sz w:val="24"/>
              </w:rPr>
              <w:t xml:space="preserve">стійкості до загроз та безперервності надання життєво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важливих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послуг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4335" w:type="dxa"/>
            <w:textDirection w:val="lrTb"/>
            <w:noWrap w:val="false"/>
          </w:tcPr>
          <w:p>
            <w:pPr>
              <w:pStyle w:val="975"/>
              <w:pBdr/>
              <w:spacing/>
              <w:ind w:right="327" w:hanging="1" w:left="350"/>
              <w:rPr>
                <w:sz w:val="24"/>
              </w:rPr>
            </w:pPr>
            <w:r>
              <w:rPr>
                <w:sz w:val="24"/>
              </w:rPr>
              <w:t xml:space="preserve">Частка об'єктів критичної інфраструктури,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яких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проведено заходи із захисту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215" w:type="dxa"/>
            <w:textDirection w:val="lrTb"/>
            <w:noWrap w:val="false"/>
          </w:tcPr>
          <w:p>
            <w:pPr>
              <w:pStyle w:val="975"/>
              <w:pBdr/>
              <w:spacing/>
              <w:ind w:right="60" w:left="79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23%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320" w:type="dxa"/>
            <w:textDirection w:val="lrTb"/>
            <w:noWrap w:val="false"/>
          </w:tcPr>
          <w:p>
            <w:pPr>
              <w:pStyle w:val="975"/>
              <w:pBdr/>
              <w:spacing/>
              <w:ind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24%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8" w:space="0"/>
              <w:bottom w:val="single" w:color="000000" w:sz="6" w:space="0"/>
              <w:right w:val="single" w:color="000000" w:sz="4" w:space="0"/>
            </w:tcBorders>
            <w:tcW w:w="1365" w:type="dxa"/>
            <w:textDirection w:val="lrTb"/>
            <w:noWrap w:val="false"/>
          </w:tcPr>
          <w:p>
            <w:pPr>
              <w:pStyle w:val="975"/>
              <w:pBdr/>
              <w:spacing/>
              <w:ind w:left="14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25%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tcW w:w="1200" w:type="dxa"/>
            <w:textDirection w:val="lrTb"/>
            <w:noWrap w:val="false"/>
          </w:tcPr>
          <w:p>
            <w:pPr>
              <w:pStyle w:val="975"/>
              <w:pBdr/>
              <w:spacing/>
              <w:ind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28%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rPr>
          <w:trHeight w:val="1005"/>
        </w:trPr>
        <w:tc>
          <w:tcPr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W w:w="2100" w:type="dxa"/>
            <w:vMerge w:val="restart"/>
            <w:textDirection w:val="lrTb"/>
            <w:noWrap w:val="false"/>
          </w:tcPr>
          <w:p>
            <w:pPr>
              <w:pStyle w:val="975"/>
              <w:pBdr/>
              <w:spacing/>
              <w:ind w:left="158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Теплопостачання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180" w:type="dxa"/>
            <w:vMerge w:val="restart"/>
            <w:textDirection w:val="lrTb"/>
            <w:noWrap w:val="false"/>
          </w:tcPr>
          <w:p w14:paraId="4B092116">
            <w:pPr>
              <w:pStyle w:val="975"/>
              <w:pBdr/>
              <w:spacing w:line="259" w:lineRule="auto"/>
              <w:ind w:left="42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Відновлення, </w:t>
            </w:r>
            <w:r>
              <w:rPr>
                <w:sz w:val="24"/>
                <w:szCs w:val="24"/>
              </w:rPr>
              <w:t xml:space="preserve">розвиток та </w:t>
            </w:r>
            <w:r>
              <w:rPr>
                <w:spacing w:val="-2"/>
                <w:sz w:val="24"/>
                <w:szCs w:val="24"/>
              </w:rPr>
              <w:t xml:space="preserve">модернізація інфраструктури централізованого теплопостачання</w:t>
            </w:r>
            <w:r>
              <w:rPr>
                <w:sz w:val="24"/>
                <w:szCs w:val="24"/>
              </w:rPr>
              <w:t xml:space="preserve">, в тому числі з </w:t>
            </w:r>
            <w:r>
              <w:rPr>
                <w:spacing w:val="-2"/>
                <w:sz w:val="24"/>
                <w:szCs w:val="24"/>
              </w:rPr>
              <w:t xml:space="preserve">впровадженням альтернативних </w:t>
            </w:r>
            <w:r>
              <w:rPr>
                <w:sz w:val="24"/>
                <w:szCs w:val="24"/>
              </w:rPr>
              <w:t xml:space="preserve">джерел енергії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975"/>
              <w:pBdr/>
              <w:spacing/>
              <w:ind w:right="12" w:left="34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4335" w:type="dxa"/>
            <w:textDirection w:val="lrTb"/>
            <w:noWrap w:val="false"/>
          </w:tcPr>
          <w:p w14:paraId="37C8A032">
            <w:pPr>
              <w:pStyle w:val="975"/>
              <w:pBdr/>
              <w:spacing/>
              <w:ind w:right="137" w:left="159"/>
              <w:rPr>
                <w:sz w:val="24"/>
              </w:rPr>
            </w:pPr>
            <w:r>
              <w:rPr>
                <w:sz w:val="24"/>
              </w:rPr>
              <w:t xml:space="preserve">Рівень скорочення споживання природного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газу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підприємствами </w:t>
            </w:r>
            <w:r>
              <w:rPr>
                <w:spacing w:val="-2"/>
                <w:sz w:val="24"/>
              </w:rPr>
              <w:t xml:space="preserve">теплопостачання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215" w:type="dxa"/>
            <w:textDirection w:val="lrTb"/>
            <w:noWrap w:val="false"/>
          </w:tcPr>
          <w:p w14:paraId="2498EF3F">
            <w:pPr>
              <w:pStyle w:val="975"/>
              <w:pBdr/>
              <w:spacing/>
              <w:ind w:right="60" w:left="79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100%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320" w:type="dxa"/>
            <w:textDirection w:val="lrTb"/>
            <w:noWrap w:val="false"/>
          </w:tcPr>
          <w:p w14:paraId="5C26688D">
            <w:pPr>
              <w:pStyle w:val="975"/>
              <w:pBdr/>
              <w:spacing/>
              <w:ind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83%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8" w:space="0"/>
              <w:bottom w:val="single" w:color="000000" w:sz="6" w:space="0"/>
              <w:right w:val="single" w:color="000000" w:sz="4" w:space="0"/>
            </w:tcBorders>
            <w:tcW w:w="1365" w:type="dxa"/>
            <w:textDirection w:val="lrTb"/>
            <w:noWrap w:val="false"/>
          </w:tcPr>
          <w:p w14:paraId="3AB081D9">
            <w:pPr>
              <w:pStyle w:val="975"/>
              <w:pBdr/>
              <w:spacing/>
              <w:ind w:left="14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70%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tcW w:w="1200" w:type="dxa"/>
            <w:textDirection w:val="lrTb"/>
            <w:noWrap w:val="false"/>
          </w:tcPr>
          <w:p w14:paraId="7C6203A4">
            <w:pPr>
              <w:pStyle w:val="975"/>
              <w:pBdr/>
              <w:spacing/>
              <w:ind w:left="20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rPr>
          <w:trHeight w:val="1004"/>
        </w:trPr>
        <w:tc>
          <w:tcPr>
            <w:tcBorders>
              <w:top w:val="none" w:color="000000" w:sz="4" w:space="0"/>
              <w:bottom w:val="single" w:color="000000" w:sz="8" w:space="0"/>
              <w:right w:val="single" w:color="000000" w:sz="8" w:space="0"/>
            </w:tcBorders>
            <w:tcW w:w="2100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180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4335" w:type="dxa"/>
            <w:textDirection w:val="lrTb"/>
            <w:noWrap w:val="false"/>
          </w:tcPr>
          <w:p>
            <w:pPr>
              <w:pStyle w:val="975"/>
              <w:pBdr/>
              <w:spacing/>
              <w:ind w:right="137" w:left="159"/>
              <w:rPr>
                <w:sz w:val="24"/>
              </w:rPr>
            </w:pPr>
            <w:r>
              <w:rPr>
                <w:sz w:val="24"/>
              </w:rPr>
              <w:t xml:space="preserve">Рівень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технічної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модернізації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систем теплопостачання та обліку теплової </w:t>
            </w:r>
            <w:r>
              <w:rPr>
                <w:spacing w:val="-2"/>
                <w:sz w:val="24"/>
              </w:rPr>
              <w:t xml:space="preserve">енергії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215" w:type="dxa"/>
            <w:textDirection w:val="lrTb"/>
            <w:noWrap w:val="false"/>
          </w:tcPr>
          <w:p>
            <w:pPr>
              <w:pStyle w:val="975"/>
              <w:pBdr/>
              <w:spacing/>
              <w:ind w:right="60" w:left="79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20%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320" w:type="dxa"/>
            <w:textDirection w:val="lrTb"/>
            <w:noWrap w:val="false"/>
          </w:tcPr>
          <w:p>
            <w:pPr>
              <w:pStyle w:val="975"/>
              <w:pBdr/>
              <w:spacing/>
              <w:ind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30%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8" w:space="0"/>
              <w:bottom w:val="single" w:color="000000" w:sz="6" w:space="0"/>
              <w:right w:val="single" w:color="000000" w:sz="4" w:space="0"/>
            </w:tcBorders>
            <w:tcW w:w="1365" w:type="dxa"/>
            <w:textDirection w:val="lrTb"/>
            <w:noWrap w:val="false"/>
          </w:tcPr>
          <w:p>
            <w:pPr>
              <w:pStyle w:val="975"/>
              <w:pBdr/>
              <w:spacing/>
              <w:ind w:left="14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60%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tcW w:w="1200" w:type="dxa"/>
            <w:textDirection w:val="lrTb"/>
            <w:noWrap w:val="false"/>
          </w:tcPr>
          <w:p>
            <w:pPr>
              <w:pStyle w:val="975"/>
              <w:pBdr/>
              <w:spacing/>
              <w:ind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100%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rPr>
          <w:trHeight w:val="1005"/>
        </w:trPr>
        <w:tc>
          <w:tcPr>
            <w:tcBorders>
              <w:top w:val="none" w:color="000000" w:sz="4" w:space="0"/>
              <w:bottom w:val="single" w:color="000000" w:sz="8" w:space="0"/>
              <w:right w:val="single" w:color="000000" w:sz="8" w:space="0"/>
            </w:tcBorders>
            <w:tcW w:w="2100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180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4335" w:type="dxa"/>
            <w:textDirection w:val="lrTb"/>
            <w:noWrap w:val="false"/>
          </w:tcPr>
          <w:p>
            <w:pPr>
              <w:pStyle w:val="975"/>
              <w:pBdr/>
              <w:spacing/>
              <w:ind w:right="137" w:left="159"/>
              <w:rPr>
                <w:sz w:val="24"/>
              </w:rPr>
            </w:pPr>
            <w:r>
              <w:rPr>
                <w:sz w:val="24"/>
              </w:rPr>
              <w:t xml:space="preserve">Частка відновлюваних та альтернативних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джерел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енергії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215" w:type="dxa"/>
            <w:textDirection w:val="lrTb"/>
            <w:noWrap w:val="false"/>
          </w:tcPr>
          <w:p>
            <w:pPr>
              <w:pStyle w:val="975"/>
              <w:pBdr/>
              <w:spacing/>
              <w:ind w:right="60" w:left="79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5%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320" w:type="dxa"/>
            <w:textDirection w:val="lrTb"/>
            <w:noWrap w:val="false"/>
          </w:tcPr>
          <w:p>
            <w:pPr>
              <w:pStyle w:val="975"/>
              <w:pBdr/>
              <w:spacing/>
              <w:ind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10%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8" w:space="0"/>
              <w:bottom w:val="single" w:color="000000" w:sz="6" w:space="0"/>
              <w:right w:val="single" w:color="000000" w:sz="4" w:space="0"/>
            </w:tcBorders>
            <w:tcW w:w="1365" w:type="dxa"/>
            <w:textDirection w:val="lrTb"/>
            <w:noWrap w:val="false"/>
          </w:tcPr>
          <w:p>
            <w:pPr>
              <w:pStyle w:val="975"/>
              <w:pBdr/>
              <w:spacing/>
              <w:ind w:left="14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15%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tcW w:w="1200" w:type="dxa"/>
            <w:textDirection w:val="lrTb"/>
            <w:noWrap w:val="false"/>
          </w:tcPr>
          <w:p>
            <w:pPr>
              <w:pStyle w:val="975"/>
              <w:pBdr/>
              <w:spacing/>
              <w:ind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20%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rPr>
          <w:trHeight w:val="1005"/>
        </w:trPr>
        <w:tc>
          <w:tcPr>
            <w:tcBorders>
              <w:top w:val="none" w:color="000000" w:sz="4" w:space="0"/>
              <w:bottom w:val="single" w:color="000000" w:sz="8" w:space="0"/>
              <w:right w:val="single" w:color="000000" w:sz="8" w:space="0"/>
            </w:tcBorders>
            <w:tcW w:w="2100" w:type="dxa"/>
            <w:vMerge w:val="restart"/>
            <w:textDirection w:val="lrTb"/>
            <w:noWrap w:val="false"/>
          </w:tcPr>
          <w:p w14:paraId="721B2356"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t xml:space="preserve">Благоустрій населених пунктів</w:t>
            </w:r>
            <w:r>
              <w:rPr>
                <w:rFonts w:ascii="Times New Roman" w:hAnsi="Times New Roman" w:cs="Times New Roman"/>
                <w:sz w:val="2"/>
                <w:szCs w:val="2"/>
              </w:rPr>
            </w:r>
            <w:r>
              <w:rPr>
                <w:rFonts w:ascii="Times New Roman" w:hAnsi="Times New Roman" w:cs="Times New Roman"/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180" w:type="dxa"/>
            <w:vMerge w:val="restart"/>
            <w:textDirection w:val="lrTb"/>
            <w:noWrap w:val="false"/>
          </w:tcPr>
          <w:p w14:paraId="67B2FD19">
            <w:pPr>
              <w:pBdr/>
              <w:spacing/>
              <w:ind/>
              <w:jc w:val="center"/>
              <w:rPr>
                <w:rFonts w:ascii="Times New Roman" w:hAnsi="Times New Roman" w:cs="Times New Roman"/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rFonts w:ascii="Arial" w:hAnsi="Arial" w:eastAsia="Arial" w:cs="Arial"/>
                <w:color w:val="000000"/>
                <w:sz w:val="24"/>
                <w:u w:val="none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u w:val="none"/>
              </w:rPr>
              <w:t xml:space="preserve">Розвиток та облаштування об'єктів благоустрою, створення безпечного та комфортного простору для дозвілля</w:t>
            </w:r>
            <w:r>
              <w:rPr>
                <w:rFonts w:ascii="Times New Roman" w:hAnsi="Times New Roman" w:cs="Times New Roman"/>
                <w:sz w:val="2"/>
                <w:szCs w:val="2"/>
              </w:rPr>
            </w:r>
            <w:r>
              <w:rPr>
                <w:rFonts w:ascii="Times New Roman" w:hAnsi="Times New Roman" w:cs="Times New Roman"/>
                <w:sz w:val="2"/>
                <w:szCs w:val="2"/>
              </w:rPr>
            </w:r>
          </w:p>
          <w:p w14:paraId="309EB18D">
            <w:pPr>
              <w:pBdr/>
              <w:spacing/>
              <w:ind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4335" w:type="dxa"/>
            <w:vMerge w:val="restart"/>
            <w:textDirection w:val="lrTb"/>
            <w:noWrap w:val="false"/>
          </w:tcPr>
          <w:p w14:paraId="029E4380">
            <w:pPr>
              <w:pStyle w:val="975"/>
              <w:pBdr/>
              <w:spacing/>
              <w:ind w:right="137" w:left="159"/>
              <w:rPr>
                <w:sz w:val="24"/>
              </w:rPr>
            </w:pPr>
            <w:r>
              <w:rPr>
                <w:sz w:val="24"/>
              </w:rPr>
            </w:r>
            <w:r>
              <w:t xml:space="preserve">Частка модернізованих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u w:val="none"/>
              </w:rPr>
              <w:t xml:space="preserve">об'єктів благоустрою</w:t>
            </w:r>
            <w:r>
              <w:t xml:space="preserve">, в т.ч. дитячих та спортивних майданчиків 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215" w:type="dxa"/>
            <w:vMerge w:val="restart"/>
            <w:textDirection w:val="lrTb"/>
            <w:noWrap w:val="false"/>
          </w:tcPr>
          <w:p w14:paraId="575511CA">
            <w:pPr>
              <w:pStyle w:val="975"/>
              <w:pBdr/>
              <w:spacing/>
              <w:ind w:right="60" w:left="79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 xml:space="preserve">10%</w:t>
            </w:r>
            <w:r>
              <w:rPr>
                <w:spacing w:val="-5"/>
                <w:sz w:val="24"/>
              </w:rPr>
            </w:r>
            <w:r>
              <w:rPr>
                <w:spacing w:val="-5"/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320" w:type="dxa"/>
            <w:vMerge w:val="restart"/>
            <w:textDirection w:val="lrTb"/>
            <w:noWrap w:val="false"/>
          </w:tcPr>
          <w:p w14:paraId="33E33ECC">
            <w:pPr>
              <w:pStyle w:val="975"/>
              <w:pBdr/>
              <w:spacing/>
              <w:ind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 xml:space="preserve">20%</w:t>
            </w:r>
            <w:r>
              <w:rPr>
                <w:spacing w:val="-5"/>
                <w:sz w:val="24"/>
              </w:rPr>
            </w:r>
            <w:r>
              <w:rPr>
                <w:spacing w:val="-5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8" w:space="0"/>
              <w:bottom w:val="single" w:color="000000" w:sz="6" w:space="0"/>
              <w:right w:val="single" w:color="000000" w:sz="4" w:space="0"/>
            </w:tcBorders>
            <w:tcW w:w="1365" w:type="dxa"/>
            <w:vMerge w:val="restart"/>
            <w:textDirection w:val="lrTb"/>
            <w:noWrap w:val="false"/>
          </w:tcPr>
          <w:p w14:paraId="59F8D27A">
            <w:pPr>
              <w:pStyle w:val="975"/>
              <w:pBdr/>
              <w:spacing/>
              <w:ind w:left="14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 xml:space="preserve">50%</w:t>
            </w:r>
            <w:r>
              <w:rPr>
                <w:spacing w:val="-5"/>
                <w:sz w:val="24"/>
              </w:rPr>
            </w:r>
            <w:r>
              <w:rPr>
                <w:spacing w:val="-5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tcW w:w="1200" w:type="dxa"/>
            <w:vMerge w:val="restart"/>
            <w:textDirection w:val="lrTb"/>
            <w:noWrap w:val="false"/>
          </w:tcPr>
          <w:p w14:paraId="1E7921E8">
            <w:pPr>
              <w:pStyle w:val="975"/>
              <w:pBdr/>
              <w:spacing/>
              <w:ind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 xml:space="preserve">80%</w:t>
            </w:r>
            <w:r>
              <w:rPr>
                <w:spacing w:val="-5"/>
                <w:sz w:val="24"/>
              </w:rPr>
            </w:r>
            <w:r>
              <w:rPr>
                <w:spacing w:val="-5"/>
                <w:sz w:val="24"/>
              </w:rPr>
            </w:r>
          </w:p>
        </w:tc>
      </w:tr>
    </w:tbl>
    <w:p>
      <w:pPr>
        <w:pStyle w:val="975"/>
        <w:pBdr/>
        <w:spacing w:after="0"/>
        <w:ind/>
        <w:rPr>
          <w:sz w:val="24"/>
        </w:rPr>
        <w:sectPr>
          <w:footnotePr/>
          <w:endnotePr/>
          <w:type w:val="continuous"/>
          <w:pgSz w:h="11910" w:orient="landscape" w:w="16840"/>
          <w:pgMar w:top="1280" w:right="708" w:bottom="1708" w:left="1275" w:header="0" w:footer="986" w:gutter="0"/>
          <w:cols w:num="1" w:sep="0" w:space="1701" w:equalWidth="1"/>
        </w:sect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tbl>
      <w:tblPr>
        <w:tblInd w:w="83" w:type="dxa"/>
        <w:tblW w:w="0" w:type="auto"/>
        <w:tblCellMar>
          <w:left w:w="0" w:type="dxa"/>
          <w:top w:w="0" w:type="dxa"/>
          <w:right w:w="0" w:type="dxa"/>
          <w:bottom w:w="0" w:type="dxa"/>
        </w:tblCellMar>
        <w:tblBorders>
          <w:top w:val="single" w:color="cccccc" w:sz="8" w:space="0"/>
          <w:left w:val="single" w:color="cccccc" w:sz="8" w:space="0"/>
          <w:bottom w:val="single" w:color="cccccc" w:sz="8" w:space="0"/>
          <w:right w:val="single" w:color="cccccc" w:sz="8" w:space="0"/>
          <w:insideH w:val="single" w:color="cccccc" w:sz="8" w:space="0"/>
          <w:insideV w:val="single" w:color="cccccc" w:sz="8" w:space="0"/>
        </w:tblBorders>
        <w:tblLayout w:type="fixed"/>
        <w:tblLook w:val="01E0" w:firstRow="1" w:lastRow="1" w:firstColumn="1" w:lastColumn="1" w:noHBand="0" w:noVBand="0"/>
      </w:tblPr>
      <w:tblGrid>
        <w:gridCol w:w="2100"/>
        <w:gridCol w:w="3180"/>
        <w:gridCol w:w="4335"/>
        <w:gridCol w:w="1215"/>
        <w:gridCol w:w="1320"/>
        <w:gridCol w:w="1365"/>
        <w:gridCol w:w="1200"/>
      </w:tblGrid>
      <w:tr>
        <w:trPr>
          <w:trHeight w:val="855"/>
        </w:trPr>
        <w:tc>
          <w:tcPr>
            <w:gridSpan w:val="7"/>
            <w:tcBorders>
              <w:bottom w:val="single" w:color="000000" w:sz="8" w:space="0"/>
              <w:right w:val="single" w:color="000000" w:sz="8" w:space="0"/>
            </w:tcBorders>
            <w:tcW w:w="14715" w:type="dxa"/>
            <w:textDirection w:val="lrTb"/>
            <w:noWrap w:val="false"/>
          </w:tcPr>
          <w:p w14:paraId="3542AF8B">
            <w:pPr>
              <w:pStyle w:val="975"/>
              <w:pBdr/>
              <w:spacing/>
              <w:ind w:right="-25" w:firstLine="0" w:left="4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highlight w:val="none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975"/>
              <w:pBdr/>
              <w:spacing/>
              <w:ind w:right="-25" w:firstLine="0" w:left="40"/>
              <w:jc w:val="left"/>
              <w:rPr>
                <w:b/>
                <w:bCs/>
                <w:sz w:val="24"/>
                <w:szCs w:val="24"/>
                <w:highlight w:val="none"/>
              </w:rPr>
            </w:pPr>
            <w:r>
              <w:rPr>
                <w:sz w:val="24"/>
              </w:rPr>
              <w:t xml:space="preserve">Пріоритетна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галузь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(сектор)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публічного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інвестування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Транспорт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послуги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поштового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зв'язку</w:t>
            </w:r>
            <w:r>
              <w:rPr>
                <w:b/>
                <w:bCs/>
                <w:sz w:val="24"/>
                <w:szCs w:val="24"/>
                <w:highlight w:val="none"/>
              </w:rPr>
            </w:r>
            <w:r>
              <w:rPr>
                <w:b/>
                <w:bCs/>
                <w:sz w:val="24"/>
                <w:szCs w:val="24"/>
                <w:highlight w:val="none"/>
              </w:rPr>
            </w:r>
          </w:p>
          <w:p w14:paraId="6EF89DE2">
            <w:pPr>
              <w:pStyle w:val="975"/>
              <w:pBdr/>
              <w:spacing/>
              <w:ind w:right="-25" w:firstLine="0" w:left="40"/>
              <w:jc w:val="left"/>
              <w:rPr/>
            </w:pPr>
            <w:r>
              <w:rPr>
                <w:sz w:val="24"/>
                <w:szCs w:val="24"/>
              </w:rPr>
              <w:t xml:space="preserve">Структурний підрозділ відповідальний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за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галузь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(сектор)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для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публічного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інвестування</w:t>
            </w:r>
            <w:r>
              <w:rPr>
                <w:sz w:val="24"/>
                <w:szCs w:val="24"/>
              </w:rPr>
              <w:t xml:space="preserve"> –</w:t>
            </w:r>
            <w:r>
              <w:rPr>
                <w:sz w:val="24"/>
                <w:szCs w:val="24"/>
              </w:rPr>
              <w:t xml:space="preserve"> Сектор контролю за станом доріг та тротуарів </w:t>
            </w:r>
            <w:hyperlink r:id="rId16" w:tooltip="https://krasnograd-rada.gov.ua/viddil-zhytlovo-komunalnoho-hospodarstva-blahoustroyu-ekonomichnoho-ta-infrastrukturnoho-rozvytku/" w:history="1">
              <w:r>
                <w:rPr>
                  <w:rStyle w:val="955"/>
                  <w:bCs/>
                  <w:color w:val="auto"/>
                  <w:sz w:val="24"/>
                  <w:szCs w:val="24"/>
                  <w:u w:val="none"/>
                </w:rPr>
                <w:t xml:space="preserve">відділу житлово-комунального господарства та благоустрою</w:t>
              </w:r>
            </w:hyperlink>
            <w:r>
              <w:rPr>
                <w:b/>
                <w:sz w:val="24"/>
              </w:rPr>
            </w:r>
            <w:r/>
          </w:p>
          <w:p w14:paraId="25F030C3">
            <w:pPr>
              <w:pStyle w:val="975"/>
              <w:pBdr/>
              <w:spacing/>
              <w:ind w:right="1250" w:firstLine="0" w:left="40"/>
              <w:jc w:val="left"/>
              <w:rPr>
                <w:b/>
                <w:bCs/>
                <w:spacing w:val="-4"/>
                <w:sz w:val="24"/>
                <w:szCs w:val="24"/>
                <w:highlight w:val="none"/>
              </w:rPr>
            </w:pPr>
            <w:r>
              <w:rPr>
                <w:sz w:val="24"/>
              </w:rPr>
              <w:t xml:space="preserve">Граничний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сукупний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обсяг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публічних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інвестицій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середньостроковий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період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галузь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(сектор)</w:t>
            </w:r>
            <w:r>
              <w:rPr>
                <w:spacing w:val="-3"/>
                <w:sz w:val="24"/>
              </w:rPr>
              <w:t xml:space="preserve">  - </w:t>
            </w:r>
            <w:r>
              <w:rPr>
                <w:b/>
                <w:spacing w:val="-3"/>
                <w:sz w:val="24"/>
              </w:rPr>
              <w:t xml:space="preserve">209,8  </w:t>
            </w:r>
            <w:r>
              <w:rPr>
                <w:b/>
                <w:sz w:val="24"/>
              </w:rPr>
              <w:t xml:space="preserve">тис.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 xml:space="preserve">грн.</w:t>
            </w:r>
            <w:r>
              <w:rPr>
                <w:b/>
                <w:bCs/>
                <w:spacing w:val="-4"/>
                <w:sz w:val="24"/>
                <w:szCs w:val="24"/>
                <w:highlight w:val="none"/>
              </w:rPr>
            </w:r>
            <w:r>
              <w:rPr>
                <w:b/>
                <w:bCs/>
                <w:spacing w:val="-4"/>
                <w:sz w:val="24"/>
                <w:szCs w:val="24"/>
                <w:highlight w:val="none"/>
              </w:rPr>
            </w:r>
          </w:p>
          <w:p w14:paraId="08A42587">
            <w:pPr>
              <w:pStyle w:val="975"/>
              <w:pBdr/>
              <w:spacing/>
              <w:ind w:right="1250" w:firstLine="0" w:left="4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spacing w:val="-4"/>
                <w:sz w:val="24"/>
                <w:highlight w:val="none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>
          <w:trHeight w:val="1103"/>
        </w:trPr>
        <w:tc>
          <w:tcPr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W w:w="2100" w:type="dxa"/>
            <w:vMerge w:val="restart"/>
            <w:textDirection w:val="lrTb"/>
            <w:noWrap w:val="false"/>
          </w:tcPr>
          <w:p>
            <w:pPr>
              <w:pStyle w:val="975"/>
              <w:pBdr/>
              <w:spacing/>
              <w:ind w:right="8" w:left="3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Автомобільні </w:t>
            </w:r>
            <w:r>
              <w:rPr>
                <w:sz w:val="24"/>
              </w:rPr>
              <w:t xml:space="preserve">дороги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загального </w:t>
            </w:r>
            <w:r>
              <w:rPr>
                <w:spacing w:val="-2"/>
                <w:sz w:val="24"/>
              </w:rPr>
              <w:t xml:space="preserve">користування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180" w:type="dxa"/>
            <w:vMerge w:val="restart"/>
            <w:textDirection w:val="lrTb"/>
            <w:noWrap w:val="false"/>
          </w:tcPr>
          <w:p>
            <w:pPr>
              <w:pStyle w:val="975"/>
              <w:pBdr/>
              <w:spacing/>
              <w:ind w:right="246" w:left="269"/>
              <w:rPr>
                <w:sz w:val="24"/>
              </w:rPr>
            </w:pPr>
            <w:r>
              <w:rPr>
                <w:sz w:val="24"/>
              </w:rPr>
              <w:t xml:space="preserve">Розбудова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відновлення </w:t>
            </w:r>
            <w:r>
              <w:rPr>
                <w:spacing w:val="-2"/>
                <w:sz w:val="24"/>
              </w:rPr>
              <w:t xml:space="preserve">інфраструктури </w:t>
            </w:r>
            <w:r>
              <w:rPr>
                <w:sz w:val="24"/>
              </w:rPr>
              <w:t xml:space="preserve">автомобільних доріг та тротуарів загального користування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4335" w:type="dxa"/>
            <w:textDirection w:val="lrTb"/>
            <w:noWrap w:val="false"/>
          </w:tcPr>
          <w:p>
            <w:pPr>
              <w:pStyle w:val="975"/>
              <w:pBdr/>
              <w:spacing w:line="270" w:lineRule="atLeast"/>
              <w:ind w:right="54" w:left="76"/>
              <w:rPr>
                <w:sz w:val="24"/>
              </w:rPr>
            </w:pPr>
            <w:r>
              <w:rPr>
                <w:sz w:val="24"/>
              </w:rPr>
              <w:t xml:space="preserve">Частка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відновлених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автомобільних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доріг загального користування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215" w:type="dxa"/>
            <w:textDirection w:val="lrTb"/>
            <w:noWrap w:val="false"/>
          </w:tcPr>
          <w:p>
            <w:pPr>
              <w:pStyle w:val="975"/>
              <w:pBdr/>
              <w:spacing/>
              <w:ind w:right="60" w:left="79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10%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320" w:type="dxa"/>
            <w:textDirection w:val="lrTb"/>
            <w:noWrap w:val="false"/>
          </w:tcPr>
          <w:p>
            <w:pPr>
              <w:pStyle w:val="975"/>
              <w:pBdr/>
              <w:spacing/>
              <w:ind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25%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8" w:space="0"/>
              <w:bottom w:val="single" w:color="000000" w:sz="6" w:space="0"/>
              <w:right w:val="single" w:color="000000" w:sz="4" w:space="0"/>
            </w:tcBorders>
            <w:tcW w:w="1365" w:type="dxa"/>
            <w:textDirection w:val="lrTb"/>
            <w:noWrap w:val="false"/>
          </w:tcPr>
          <w:p>
            <w:pPr>
              <w:pStyle w:val="975"/>
              <w:pBdr/>
              <w:spacing/>
              <w:ind w:left="14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55%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tcW w:w="1200" w:type="dxa"/>
            <w:textDirection w:val="lrTb"/>
            <w:noWrap w:val="false"/>
          </w:tcPr>
          <w:p>
            <w:pPr>
              <w:pStyle w:val="975"/>
              <w:pBdr/>
              <w:spacing/>
              <w:ind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60%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</w:tbl>
    <w:tbl>
      <w:tblPr>
        <w:tblInd w:w="83" w:type="dxa"/>
        <w:tblW w:w="0" w:type="auto"/>
        <w:tblCellMar>
          <w:left w:w="0" w:type="dxa"/>
          <w:top w:w="0" w:type="dxa"/>
          <w:right w:w="0" w:type="dxa"/>
          <w:bottom w:w="0" w:type="dxa"/>
        </w:tblCellMar>
        <w:tblBorders>
          <w:top w:val="single" w:color="cccccc" w:sz="8" w:space="0"/>
          <w:left w:val="single" w:color="cccccc" w:sz="8" w:space="0"/>
          <w:bottom w:val="single" w:color="cccccc" w:sz="8" w:space="0"/>
          <w:right w:val="single" w:color="cccccc" w:sz="8" w:space="0"/>
          <w:insideH w:val="single" w:color="cccccc" w:sz="8" w:space="0"/>
          <w:insideV w:val="single" w:color="cccccc" w:sz="8" w:space="0"/>
        </w:tblBorders>
        <w:tblLayout w:type="fixed"/>
        <w:tblLook w:val="01E0" w:firstRow="1" w:lastRow="1" w:firstColumn="1" w:lastColumn="1" w:noHBand="0" w:noVBand="0"/>
      </w:tblPr>
      <w:tblGrid>
        <w:gridCol w:w="2100"/>
        <w:gridCol w:w="3180"/>
        <w:gridCol w:w="4335"/>
        <w:gridCol w:w="1215"/>
        <w:gridCol w:w="1320"/>
        <w:gridCol w:w="1365"/>
        <w:gridCol w:w="1200"/>
      </w:tblGrid>
      <w:tr>
        <w:trPr>
          <w:trHeight w:val="585"/>
        </w:trPr>
        <w:tc>
          <w:tcPr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W w:w="2100" w:type="dxa"/>
            <w:vMerge w:val="restart"/>
            <w:textDirection w:val="lrTb"/>
            <w:noWrap w:val="false"/>
          </w:tcPr>
          <w:p>
            <w:pPr>
              <w:pStyle w:val="975"/>
              <w:pBdr/>
              <w:spacing/>
              <w:ind w:hanging="155" w:left="530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Громадський транспорт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180" w:type="dxa"/>
            <w:vMerge w:val="restart"/>
            <w:textDirection w:val="lrTb"/>
            <w:noWrap w:val="false"/>
          </w:tcPr>
          <w:p>
            <w:pPr>
              <w:pStyle w:val="975"/>
              <w:pBdr/>
              <w:spacing/>
              <w:ind w:right="127" w:hanging="1" w:left="149"/>
              <w:rPr>
                <w:sz w:val="24"/>
              </w:rPr>
            </w:pPr>
            <w:r>
              <w:rPr>
                <w:sz w:val="24"/>
              </w:rPr>
              <w:t xml:space="preserve">Комплексний розвиток громадського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транспорту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та міської інфраструктури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4335" w:type="dxa"/>
            <w:textDirection w:val="lrTb"/>
            <w:noWrap w:val="false"/>
          </w:tcPr>
          <w:p w14:paraId="3416AC86">
            <w:pPr>
              <w:pStyle w:val="975"/>
              <w:pBdr/>
              <w:spacing w:line="270" w:lineRule="atLeast"/>
              <w:ind w:right="22" w:firstLine="122" w:left="387"/>
              <w:jc w:val="left"/>
              <w:rPr>
                <w:sz w:val="24"/>
              </w:rPr>
            </w:pPr>
            <w:r>
              <w:rPr>
                <w:sz w:val="24"/>
              </w:rPr>
              <w:t xml:space="preserve">Рівень розвитку інфраструктури міського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громадського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транспорту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215" w:type="dxa"/>
            <w:textDirection w:val="lrTb"/>
            <w:noWrap w:val="false"/>
          </w:tcPr>
          <w:p w14:paraId="40952F53">
            <w:pPr>
              <w:pStyle w:val="975"/>
              <w:pBdr/>
              <w:spacing/>
              <w:ind w:right="60" w:left="79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20%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320" w:type="dxa"/>
            <w:textDirection w:val="lrTb"/>
            <w:noWrap w:val="false"/>
          </w:tcPr>
          <w:p w14:paraId="42512454">
            <w:pPr>
              <w:pStyle w:val="975"/>
              <w:pBdr/>
              <w:spacing/>
              <w:ind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30%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8" w:space="0"/>
              <w:bottom w:val="single" w:color="000000" w:sz="6" w:space="0"/>
              <w:right w:val="single" w:color="000000" w:sz="4" w:space="0"/>
            </w:tcBorders>
            <w:tcW w:w="1365" w:type="dxa"/>
            <w:textDirection w:val="lrTb"/>
            <w:noWrap w:val="false"/>
          </w:tcPr>
          <w:p w14:paraId="402BCB11">
            <w:pPr>
              <w:pStyle w:val="975"/>
              <w:pBdr/>
              <w:spacing/>
              <w:ind w:left="14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40%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tcW w:w="1200" w:type="dxa"/>
            <w:textDirection w:val="lrTb"/>
            <w:noWrap w:val="false"/>
          </w:tcPr>
          <w:p w14:paraId="0C79244A">
            <w:pPr>
              <w:pStyle w:val="975"/>
              <w:pBdr/>
              <w:spacing/>
              <w:ind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50%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rPr>
          <w:trHeight w:val="1423"/>
        </w:trPr>
        <w:tc>
          <w:tcPr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W w:w="2100" w:type="dxa"/>
            <w:textDirection w:val="lrTb"/>
            <w:noWrap w:val="false"/>
          </w:tcPr>
          <w:p>
            <w:pPr>
              <w:pStyle w:val="975"/>
              <w:pBdr/>
              <w:spacing/>
              <w:ind w:left="381"/>
              <w:jc w:val="left"/>
              <w:rPr>
                <w:sz w:val="24"/>
              </w:rPr>
            </w:pPr>
            <w:r>
              <w:rPr>
                <w:sz w:val="24"/>
              </w:rPr>
              <w:t xml:space="preserve">Безпека </w:t>
            </w:r>
            <w:r>
              <w:rPr>
                <w:spacing w:val="-4"/>
                <w:sz w:val="24"/>
              </w:rPr>
              <w:t xml:space="preserve">руху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180" w:type="dxa"/>
            <w:textDirection w:val="lrTb"/>
            <w:noWrap w:val="false"/>
          </w:tcPr>
          <w:p>
            <w:pPr>
              <w:pStyle w:val="975"/>
              <w:pBdr/>
              <w:spacing w:line="270" w:lineRule="atLeast"/>
              <w:ind w:right="160" w:hanging="2" w:left="183"/>
              <w:rPr>
                <w:sz w:val="24"/>
              </w:rPr>
            </w:pPr>
            <w:r>
              <w:rPr>
                <w:sz w:val="24"/>
              </w:rPr>
              <w:t xml:space="preserve">Підвищення безпеки дорожнього руху та перевезень пасажирів і вантажів </w:t>
            </w:r>
            <w:r>
              <w:rPr>
                <w:sz w:val="24"/>
              </w:rPr>
              <w:t xml:space="preserve">в громаді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4335" w:type="dxa"/>
            <w:textDirection w:val="lrTb"/>
            <w:noWrap w:val="false"/>
          </w:tcPr>
          <w:p>
            <w:pPr>
              <w:pStyle w:val="975"/>
              <w:pBdr/>
              <w:spacing/>
              <w:ind w:right="42" w:hanging="1" w:left="64"/>
              <w:rPr>
                <w:sz w:val="24"/>
              </w:rPr>
            </w:pPr>
            <w:r>
              <w:rPr>
                <w:sz w:val="24"/>
              </w:rPr>
              <w:t xml:space="preserve">Зменшення аварійно-небезпечних ділянок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місць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концентрації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дорожньо-транспортних пригод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215" w:type="dxa"/>
            <w:textDirection w:val="lrTb"/>
            <w:noWrap w:val="false"/>
          </w:tcPr>
          <w:p>
            <w:pPr>
              <w:pStyle w:val="975"/>
              <w:pBdr/>
              <w:spacing/>
              <w:ind w:right="60" w:left="79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99,9%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320" w:type="dxa"/>
            <w:textDirection w:val="lrTb"/>
            <w:noWrap w:val="false"/>
          </w:tcPr>
          <w:p>
            <w:pPr>
              <w:pStyle w:val="975"/>
              <w:pBdr/>
              <w:spacing/>
              <w:ind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97,9%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8" w:space="0"/>
              <w:bottom w:val="single" w:color="000000" w:sz="6" w:space="0"/>
              <w:right w:val="single" w:color="000000" w:sz="4" w:space="0"/>
            </w:tcBorders>
            <w:tcW w:w="1365" w:type="dxa"/>
            <w:textDirection w:val="lrTb"/>
            <w:noWrap w:val="false"/>
          </w:tcPr>
          <w:p>
            <w:pPr>
              <w:pStyle w:val="975"/>
              <w:pBdr/>
              <w:spacing/>
              <w:ind w:left="1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94,9%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tcW w:w="1200" w:type="dxa"/>
            <w:textDirection w:val="lrTb"/>
            <w:noWrap w:val="false"/>
          </w:tcPr>
          <w:p>
            <w:pPr>
              <w:pStyle w:val="975"/>
              <w:pBdr/>
              <w:spacing/>
              <w:ind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89,9%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</w:tbl>
    <w:tbl>
      <w:tblPr>
        <w:tblInd w:w="83" w:type="dxa"/>
        <w:tblW w:w="0" w:type="auto"/>
        <w:tblCellMar>
          <w:left w:w="0" w:type="dxa"/>
          <w:top w:w="0" w:type="dxa"/>
          <w:right w:w="0" w:type="dxa"/>
          <w:bottom w:w="0" w:type="dxa"/>
        </w:tblCellMar>
        <w:tblBorders>
          <w:top w:val="single" w:color="cccccc" w:sz="8" w:space="0"/>
          <w:left w:val="single" w:color="cccccc" w:sz="8" w:space="0"/>
          <w:bottom w:val="single" w:color="cccccc" w:sz="8" w:space="0"/>
          <w:right w:val="single" w:color="cccccc" w:sz="8" w:space="0"/>
          <w:insideH w:val="single" w:color="cccccc" w:sz="8" w:space="0"/>
          <w:insideV w:val="single" w:color="cccccc" w:sz="8" w:space="0"/>
        </w:tblBorders>
        <w:tblLayout w:type="fixed"/>
        <w:tblLook w:val="01E0" w:firstRow="1" w:lastRow="1" w:firstColumn="1" w:lastColumn="1" w:noHBand="0" w:noVBand="0"/>
      </w:tblPr>
      <w:tblGrid>
        <w:gridCol w:w="2100"/>
        <w:gridCol w:w="3180"/>
        <w:gridCol w:w="4335"/>
        <w:gridCol w:w="1215"/>
        <w:gridCol w:w="1320"/>
        <w:gridCol w:w="1365"/>
        <w:gridCol w:w="1200"/>
      </w:tblGrid>
      <w:tr>
        <w:trPr>
          <w:trHeight w:val="780"/>
        </w:trPr>
        <w:tc>
          <w:tcPr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W w:w="2100" w:type="dxa"/>
            <w:textDirection w:val="lrTb"/>
            <w:noWrap w:val="false"/>
          </w:tcPr>
          <w:p>
            <w:pPr>
              <w:pStyle w:val="975"/>
              <w:pBdr/>
              <w:spacing/>
              <w:ind w:right="0" w:firstLine="0" w:left="14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Спеціалізований транспорт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180" w:type="dxa"/>
            <w:textDirection w:val="lrTb"/>
            <w:noWrap w:val="false"/>
          </w:tcPr>
          <w:p>
            <w:pPr>
              <w:pStyle w:val="975"/>
              <w:pBdr/>
              <w:spacing/>
              <w:ind w:right="204" w:firstLine="0" w:left="142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Забезпечення</w:t>
            </w:r>
            <w:r>
              <w:rPr>
                <w:spacing w:val="-15"/>
                <w:sz w:val="24"/>
              </w:rPr>
              <w:t xml:space="preserve"> спеціалізованим транспортом  комунальні підприємства громади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4335" w:type="dxa"/>
            <w:textDirection w:val="lrTb"/>
            <w:noWrap w:val="false"/>
          </w:tcPr>
          <w:p w14:paraId="3256F0C0">
            <w:pPr>
              <w:pStyle w:val="975"/>
              <w:pBdr/>
              <w:spacing/>
              <w:ind w:right="204" w:firstLine="0" w:left="142"/>
              <w:jc w:val="center"/>
              <w:rPr>
                <w:sz w:val="24"/>
              </w:rPr>
            </w:pPr>
            <w:r>
              <w:rPr>
                <w:spacing w:val="-13"/>
                <w:sz w:val="24"/>
              </w:rPr>
              <w:t xml:space="preserve">Рівень </w:t>
            </w:r>
            <w:r>
              <w:rPr>
                <w:sz w:val="24"/>
              </w:rPr>
              <w:t xml:space="preserve">забезпечення</w:t>
            </w:r>
            <w:r>
              <w:rPr>
                <w:spacing w:val="-15"/>
                <w:sz w:val="24"/>
              </w:rPr>
              <w:t xml:space="preserve"> спеціалізованим транспортом  комунальних підприємства громади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 w14:paraId="3AB49198">
            <w:pPr>
              <w:pStyle w:val="975"/>
              <w:pBdr/>
              <w:spacing/>
              <w:ind w:right="22" w:hanging="206" w:left="596"/>
              <w:jc w:val="left"/>
              <w:rPr>
                <w:sz w:val="24"/>
                <w:szCs w:val="24"/>
              </w:rPr>
            </w:pPr>
            <w:r>
              <w:rPr>
                <w:spacing w:val="-13"/>
                <w:sz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215" w:type="dxa"/>
            <w:textDirection w:val="lrTb"/>
            <w:noWrap w:val="false"/>
          </w:tcPr>
          <w:p>
            <w:pPr>
              <w:pStyle w:val="975"/>
              <w:pBdr/>
              <w:spacing/>
              <w:ind w:right="60" w:left="79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30%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320" w:type="dxa"/>
            <w:textDirection w:val="lrTb"/>
            <w:noWrap w:val="false"/>
          </w:tcPr>
          <w:p>
            <w:pPr>
              <w:pStyle w:val="975"/>
              <w:pBdr/>
              <w:spacing/>
              <w:ind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40%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8" w:space="0"/>
              <w:right w:val="single" w:color="000000" w:sz="4" w:space="0"/>
            </w:tcBorders>
            <w:tcW w:w="1365" w:type="dxa"/>
            <w:textDirection w:val="lrTb"/>
            <w:noWrap w:val="false"/>
          </w:tcPr>
          <w:p>
            <w:pPr>
              <w:pStyle w:val="975"/>
              <w:pBdr/>
              <w:spacing/>
              <w:ind w:left="14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50%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4" w:space="0"/>
              <w:right w:val="single" w:color="000000" w:sz="4" w:space="0"/>
            </w:tcBorders>
            <w:tcW w:w="1200" w:type="dxa"/>
            <w:textDirection w:val="lrTb"/>
            <w:noWrap w:val="false"/>
          </w:tcPr>
          <w:p>
            <w:pPr>
              <w:pStyle w:val="975"/>
              <w:pBdr/>
              <w:spacing/>
              <w:ind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70%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</w:tbl>
    <w:tbl>
      <w:tblPr>
        <w:tblInd w:w="83" w:type="dxa"/>
        <w:tblW w:w="0" w:type="auto"/>
        <w:tblCellMar>
          <w:left w:w="0" w:type="dxa"/>
          <w:top w:w="0" w:type="dxa"/>
          <w:right w:w="0" w:type="dxa"/>
          <w:bottom w:w="0" w:type="dxa"/>
        </w:tblCellMar>
        <w:tblBorders>
          <w:top w:val="single" w:color="cccccc" w:sz="8" w:space="0"/>
          <w:left w:val="single" w:color="cccccc" w:sz="8" w:space="0"/>
          <w:bottom w:val="single" w:color="cccccc" w:sz="8" w:space="0"/>
          <w:right w:val="single" w:color="cccccc" w:sz="8" w:space="0"/>
          <w:insideH w:val="single" w:color="cccccc" w:sz="8" w:space="0"/>
          <w:insideV w:val="single" w:color="cccccc" w:sz="8" w:space="0"/>
        </w:tblBorders>
        <w:tblLayout w:type="fixed"/>
        <w:tblLook w:val="01E0" w:firstRow="1" w:lastRow="1" w:firstColumn="1" w:lastColumn="1" w:noHBand="0" w:noVBand="0"/>
      </w:tblPr>
      <w:tblGrid>
        <w:gridCol w:w="2100"/>
        <w:gridCol w:w="3180"/>
        <w:gridCol w:w="4335"/>
        <w:gridCol w:w="1215"/>
        <w:gridCol w:w="1320"/>
        <w:gridCol w:w="1365"/>
        <w:gridCol w:w="1200"/>
      </w:tblGrid>
      <w:tr>
        <w:trPr>
          <w:trHeight w:val="900"/>
        </w:trPr>
        <w:tc>
          <w:tcPr>
            <w:gridSpan w:val="7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W w:w="14715" w:type="dxa"/>
            <w:textDirection w:val="lrTb"/>
            <w:noWrap w:val="false"/>
          </w:tcPr>
          <w:p w14:paraId="6948A2B5">
            <w:pPr>
              <w:pStyle w:val="975"/>
              <w:pBdr/>
              <w:spacing/>
              <w:ind w:left="4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spacing w:val="-2"/>
                <w:sz w:val="24"/>
                <w:highlight w:val="none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975"/>
              <w:pBdr/>
              <w:spacing/>
              <w:ind w:left="40"/>
              <w:jc w:val="left"/>
              <w:rPr>
                <w:b/>
                <w:bCs/>
                <w:spacing w:val="-2"/>
                <w:sz w:val="24"/>
                <w:szCs w:val="24"/>
                <w:highlight w:val="none"/>
              </w:rPr>
            </w:pPr>
            <w:r>
              <w:rPr>
                <w:sz w:val="24"/>
              </w:rPr>
              <w:t xml:space="preserve">Пріоритетна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галузь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(сектор)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публічного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інвестування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Довкілля</w:t>
            </w:r>
            <w:r>
              <w:rPr>
                <w:b/>
                <w:bCs/>
                <w:spacing w:val="-2"/>
                <w:sz w:val="24"/>
                <w:szCs w:val="24"/>
                <w:highlight w:val="none"/>
              </w:rPr>
            </w:r>
            <w:r>
              <w:rPr>
                <w:b/>
                <w:bCs/>
                <w:spacing w:val="-2"/>
                <w:sz w:val="24"/>
                <w:szCs w:val="24"/>
                <w:highlight w:val="none"/>
              </w:rPr>
            </w:r>
          </w:p>
          <w:p w14:paraId="302BC569">
            <w:pPr>
              <w:pStyle w:val="975"/>
              <w:pBdr/>
              <w:spacing/>
              <w:ind w:right="-25" w:firstLine="0" w:left="40"/>
              <w:jc w:val="left"/>
              <w:rPr/>
            </w:pPr>
            <w:r>
              <w:rPr>
                <w:sz w:val="24"/>
                <w:szCs w:val="24"/>
              </w:rPr>
              <w:t xml:space="preserve">Структурний підрозділ відповідальний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за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галузь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(сектор)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для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публічного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інвестування</w:t>
            </w:r>
            <w:r>
              <w:rPr>
                <w:sz w:val="24"/>
                <w:szCs w:val="24"/>
              </w:rPr>
              <w:t xml:space="preserve"> –</w:t>
            </w:r>
            <w:r>
              <w:rPr>
                <w:sz w:val="24"/>
                <w:szCs w:val="24"/>
              </w:rPr>
              <w:t xml:space="preserve"> Відділ соціально-економічного розвитку та інвестицій</w:t>
            </w:r>
            <w:r>
              <w:rPr>
                <w:b/>
                <w:sz w:val="24"/>
              </w:rPr>
            </w:r>
            <w:r/>
          </w:p>
          <w:p>
            <w:pPr>
              <w:pStyle w:val="975"/>
              <w:pBdr/>
              <w:spacing/>
              <w:ind w:left="40"/>
              <w:jc w:val="left"/>
              <w:rPr>
                <w:b/>
                <w:bCs/>
                <w:spacing w:val="-4"/>
                <w:sz w:val="24"/>
                <w:szCs w:val="24"/>
                <w:highlight w:val="none"/>
              </w:rPr>
            </w:pPr>
            <w:r>
              <w:rPr>
                <w:sz w:val="24"/>
              </w:rPr>
              <w:t xml:space="preserve">Граничний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сукупний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обсяг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публічних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інвестицій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середньостроковий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період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галузь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(сектор)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-</w:t>
            </w:r>
            <w:r>
              <w:rPr>
                <w:spacing w:val="-3"/>
                <w:sz w:val="24"/>
              </w:rPr>
              <w:t xml:space="preserve">    </w:t>
            </w:r>
            <w:r>
              <w:rPr>
                <w:b/>
                <w:spacing w:val="-3"/>
                <w:sz w:val="24"/>
              </w:rPr>
              <w:t xml:space="preserve">306,6   </w:t>
            </w:r>
            <w:r>
              <w:rPr>
                <w:b/>
                <w:sz w:val="24"/>
              </w:rPr>
              <w:t xml:space="preserve">тис.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 xml:space="preserve">грн.</w:t>
            </w:r>
            <w:r>
              <w:rPr>
                <w:b/>
                <w:bCs/>
                <w:spacing w:val="-4"/>
                <w:sz w:val="24"/>
                <w:szCs w:val="24"/>
                <w:highlight w:val="none"/>
              </w:rPr>
            </w:r>
            <w:r>
              <w:rPr>
                <w:b/>
                <w:bCs/>
                <w:spacing w:val="-4"/>
                <w:sz w:val="24"/>
                <w:szCs w:val="24"/>
                <w:highlight w:val="none"/>
              </w:rPr>
            </w:r>
          </w:p>
          <w:p w14:paraId="53EBD173">
            <w:pPr>
              <w:pStyle w:val="975"/>
              <w:pBdr/>
              <w:spacing/>
              <w:ind w:left="4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spacing w:val="-4"/>
                <w:sz w:val="24"/>
                <w:highlight w:val="none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</w:tbl>
    <w:p>
      <w:pPr>
        <w:pStyle w:val="975"/>
        <w:pBdr/>
        <w:spacing w:after="0"/>
        <w:ind/>
        <w:jc w:val="left"/>
        <w:rPr>
          <w:b/>
          <w:sz w:val="24"/>
        </w:rPr>
        <w:sectPr>
          <w:footnotePr/>
          <w:endnotePr/>
          <w:type w:val="continuous"/>
          <w:pgSz w:h="11910" w:orient="landscape" w:w="16840"/>
          <w:pgMar w:top="1280" w:right="708" w:bottom="1180" w:left="1275" w:header="0" w:footer="986" w:gutter="0"/>
          <w:cols w:num="1" w:sep="0" w:space="1701" w:equalWidth="1"/>
        </w:sect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tbl>
      <w:tblPr>
        <w:tblInd w:w="83" w:type="dxa"/>
        <w:tblW w:w="0" w:type="auto"/>
        <w:tblCellMar>
          <w:left w:w="0" w:type="dxa"/>
          <w:top w:w="0" w:type="dxa"/>
          <w:right w:w="0" w:type="dxa"/>
          <w:bottom w:w="0" w:type="dxa"/>
        </w:tblCellMar>
        <w:tblBorders>
          <w:top w:val="single" w:color="cccccc" w:sz="8" w:space="0"/>
          <w:left w:val="single" w:color="cccccc" w:sz="8" w:space="0"/>
          <w:bottom w:val="single" w:color="cccccc" w:sz="8" w:space="0"/>
          <w:right w:val="single" w:color="cccccc" w:sz="8" w:space="0"/>
          <w:insideH w:val="single" w:color="cccccc" w:sz="8" w:space="0"/>
          <w:insideV w:val="single" w:color="cccccc" w:sz="8" w:space="0"/>
        </w:tblBorders>
        <w:tblLayout w:type="fixed"/>
        <w:tblLook w:val="01E0" w:firstRow="1" w:lastRow="1" w:firstColumn="1" w:lastColumn="1" w:noHBand="0" w:noVBand="0"/>
      </w:tblPr>
      <w:tblGrid>
        <w:gridCol w:w="2100"/>
        <w:gridCol w:w="3180"/>
        <w:gridCol w:w="4335"/>
        <w:gridCol w:w="1215"/>
        <w:gridCol w:w="1320"/>
        <w:gridCol w:w="1365"/>
        <w:gridCol w:w="1200"/>
      </w:tblGrid>
      <w:tr>
        <w:trPr>
          <w:trHeight w:val="1005"/>
        </w:trPr>
        <w:tc>
          <w:tcPr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100" w:type="dxa"/>
            <w:vMerge w:val="restart"/>
            <w:textDirection w:val="lrTb"/>
            <w:noWrap w:val="false"/>
          </w:tcPr>
          <w:p>
            <w:pPr>
              <w:pStyle w:val="975"/>
              <w:pBdr/>
              <w:spacing w:line="270" w:lineRule="atLeast"/>
              <w:ind w:right="87" w:left="109"/>
              <w:rPr>
                <w:sz w:val="24"/>
              </w:rPr>
            </w:pPr>
            <w:r>
              <w:rPr>
                <w:sz w:val="24"/>
              </w:rPr>
            </w:r>
            <w:r>
              <w:t xml:space="preserve">Охорона вод розвитку водного господарства, протипаводкового захисту, централізованого водопостачання, управління, використання та відтворення поверхневих водних ресурсів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180" w:type="dxa"/>
            <w:vMerge w:val="restart"/>
            <w:textDirection w:val="lrTb"/>
            <w:noWrap w:val="false"/>
          </w:tcPr>
          <w:p>
            <w:pPr>
              <w:pStyle w:val="975"/>
              <w:pBdr/>
              <w:spacing/>
              <w:ind w:right="60" w:hanging="1" w:left="82"/>
              <w:rPr>
                <w:sz w:val="24"/>
              </w:rPr>
            </w:pPr>
            <w:r>
              <w:rPr>
                <w:sz w:val="24"/>
              </w:rPr>
            </w:r>
            <w:r>
              <w:t xml:space="preserve">Забезпечення захисту від шкідливої дії вод населених пунктів, виробничих об’єктів та сільськогосподарських угідь, створення безпечних умов життєдіяльності населення 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4335" w:type="dxa"/>
            <w:textDirection w:val="lrTb"/>
            <w:noWrap w:val="false"/>
          </w:tcPr>
          <w:p>
            <w:pPr>
              <w:pStyle w:val="975"/>
              <w:pBdr/>
              <w:spacing/>
              <w:ind w:right="22" w:hanging="200" w:left="262"/>
              <w:jc w:val="left"/>
              <w:rPr>
                <w:sz w:val="24"/>
              </w:rPr>
            </w:pPr>
            <w:r>
              <w:rPr>
                <w:sz w:val="24"/>
              </w:rPr>
              <w:t xml:space="preserve">Рівень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захищеності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населення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об'єктів інфраструктури від шкідливої дії вод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215" w:type="dxa"/>
            <w:textDirection w:val="lrTb"/>
            <w:noWrap w:val="false"/>
          </w:tcPr>
          <w:p>
            <w:pPr>
              <w:pStyle w:val="975"/>
              <w:pBdr/>
              <w:spacing/>
              <w:ind w:right="60" w:left="79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10%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320" w:type="dxa"/>
            <w:textDirection w:val="lrTb"/>
            <w:noWrap w:val="false"/>
          </w:tcPr>
          <w:p>
            <w:pPr>
              <w:pStyle w:val="975"/>
              <w:pBdr/>
              <w:spacing/>
              <w:ind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54%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8" w:space="0"/>
              <w:bottom w:val="single" w:color="000000" w:sz="6" w:space="0"/>
              <w:right w:val="single" w:color="000000" w:sz="4" w:space="0"/>
            </w:tcBorders>
            <w:tcW w:w="1365" w:type="dxa"/>
            <w:textDirection w:val="lrTb"/>
            <w:noWrap w:val="false"/>
          </w:tcPr>
          <w:p>
            <w:pPr>
              <w:pStyle w:val="975"/>
              <w:pBdr/>
              <w:spacing/>
              <w:ind w:left="14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73%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tcW w:w="1200" w:type="dxa"/>
            <w:textDirection w:val="lrTb"/>
            <w:noWrap w:val="false"/>
          </w:tcPr>
          <w:p>
            <w:pPr>
              <w:pStyle w:val="975"/>
              <w:pBdr/>
              <w:spacing/>
              <w:ind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100%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rPr>
          <w:trHeight w:val="2286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100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180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4335" w:type="dxa"/>
            <w:textDirection w:val="lrTb"/>
            <w:noWrap w:val="false"/>
          </w:tcPr>
          <w:p w14:paraId="2D420703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after="180" w:before="0"/>
              <w:ind w:right="0" w:firstLine="0" w:left="0"/>
              <w:jc w:val="center"/>
              <w:rPr>
                <w:rFonts w:ascii="Times New Roman" w:hAnsi="Times New Roman" w:cs="Times New Roman"/>
                <w:bCs w:val="0"/>
                <w:i w:val="0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/>
                <w:sz w:val="24"/>
                <w:u w:val="none"/>
              </w:rPr>
              <w:t xml:space="preserve">Покрашення екологічного стану та відновлення гідрологічного режиму водних об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/>
                <w:sz w:val="24"/>
                <w:u w:val="none"/>
                <w:lang w:val="en-US"/>
              </w:rPr>
              <w:t xml:space="preserve">’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olor w:val="000000"/>
                <w:sz w:val="24"/>
                <w:u w:val="none"/>
              </w:rPr>
              <w:t xml:space="preserve">єктів громади</w:t>
            </w:r>
            <w:r>
              <w:rPr>
                <w:rFonts w:ascii="Times New Roman" w:hAnsi="Times New Roman" w:cs="Times New Roman"/>
                <w:bCs w:val="0"/>
                <w:i w:val="0"/>
              </w:rPr>
            </w:r>
            <w:r>
              <w:rPr>
                <w:rFonts w:ascii="Times New Roman" w:hAnsi="Times New Roman" w:cs="Times New Roman"/>
                <w:bCs w:val="0"/>
                <w:i w:val="0"/>
              </w:rPr>
            </w:r>
          </w:p>
          <w:p>
            <w:pPr>
              <w:pStyle w:val="975"/>
              <w:pBdr/>
              <w:spacing/>
              <w:ind w:right="22" w:hanging="1030" w:left="1312"/>
              <w:jc w:val="left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215" w:type="dxa"/>
            <w:textDirection w:val="lrTb"/>
            <w:noWrap w:val="false"/>
          </w:tcPr>
          <w:p>
            <w:pPr>
              <w:pStyle w:val="975"/>
              <w:pBdr/>
              <w:spacing/>
              <w:ind w:right="60" w:left="79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6%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320" w:type="dxa"/>
            <w:textDirection w:val="lrTb"/>
            <w:noWrap w:val="false"/>
          </w:tcPr>
          <w:p>
            <w:pPr>
              <w:pStyle w:val="975"/>
              <w:pBdr/>
              <w:spacing/>
              <w:ind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45%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8" w:space="0"/>
              <w:bottom w:val="single" w:color="000000" w:sz="6" w:space="0"/>
              <w:right w:val="single" w:color="000000" w:sz="4" w:space="0"/>
            </w:tcBorders>
            <w:tcW w:w="1365" w:type="dxa"/>
            <w:textDirection w:val="lrTb"/>
            <w:noWrap w:val="false"/>
          </w:tcPr>
          <w:p>
            <w:pPr>
              <w:pStyle w:val="975"/>
              <w:pBdr/>
              <w:spacing/>
              <w:ind w:left="14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71%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tcW w:w="1200" w:type="dxa"/>
            <w:textDirection w:val="lrTb"/>
            <w:noWrap w:val="false"/>
          </w:tcPr>
          <w:p>
            <w:pPr>
              <w:pStyle w:val="975"/>
              <w:pBdr/>
              <w:spacing/>
              <w:ind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100%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rPr>
          <w:trHeight w:val="1005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100" w:type="dxa"/>
            <w:vMerge w:val="restart"/>
            <w:textDirection w:val="lrTb"/>
            <w:noWrap w:val="false"/>
          </w:tcPr>
          <w:p>
            <w:pPr>
              <w:pStyle w:val="975"/>
              <w:pBdr/>
              <w:spacing w:line="270" w:lineRule="atLeast"/>
              <w:ind w:right="87" w:left="109"/>
              <w:rPr>
                <w:sz w:val="24"/>
              </w:rPr>
            </w:pPr>
            <w:r>
              <w:rPr>
                <w:sz w:val="24"/>
              </w:rPr>
              <w:t xml:space="preserve">Екологічна безпека та </w:t>
            </w:r>
            <w:r>
              <w:t xml:space="preserve">управління відходами 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180" w:type="dxa"/>
            <w:vMerge w:val="restart"/>
            <w:textDirection w:val="lrTb"/>
            <w:noWrap w:val="false"/>
          </w:tcPr>
          <w:p>
            <w:pPr>
              <w:pStyle w:val="975"/>
              <w:pBdr/>
              <w:spacing/>
              <w:ind w:right="12" w:left="34"/>
              <w:rPr>
                <w:rFonts w:ascii="Times New Roman" w:hAnsi="Times New Roman" w:cs="Times New Roman"/>
                <w:b w:val="0"/>
                <w:bCs w:val="0"/>
                <w:sz w:val="24"/>
              </w:rPr>
            </w:pPr>
            <w:r>
              <w:rPr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u w:val="none"/>
              </w:rPr>
              <w:t xml:space="preserve">Забезпеченні розвитку інфраструктури управління відходами, впровадження роздільного збирання, перероблення, утилізації та екологічно безпечного видалення побутових і промислових відходів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  <w:t xml:space="preserve">.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4335" w:type="dxa"/>
            <w:textDirection w:val="lrTb"/>
            <w:noWrap w:val="false"/>
          </w:tcPr>
          <w:p>
            <w:pPr>
              <w:pStyle w:val="975"/>
              <w:pBdr/>
              <w:spacing/>
              <w:ind w:right="356" w:firstLine="199" w:left="381"/>
              <w:jc w:val="center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u w:val="none"/>
              </w:rPr>
              <w:t xml:space="preserve">Частка населення громади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</w:rPr>
              <w:t xml:space="preserve">охоплена послугою роздільного збирання відходів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215" w:type="dxa"/>
            <w:textDirection w:val="lrTb"/>
            <w:noWrap w:val="false"/>
          </w:tcPr>
          <w:p>
            <w:pPr>
              <w:pStyle w:val="975"/>
              <w:pBdr/>
              <w:spacing/>
              <w:ind w:right="60" w:left="79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5%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320" w:type="dxa"/>
            <w:textDirection w:val="lrTb"/>
            <w:noWrap w:val="false"/>
          </w:tcPr>
          <w:p>
            <w:pPr>
              <w:pStyle w:val="975"/>
              <w:pBdr/>
              <w:spacing/>
              <w:ind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15%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8" w:space="0"/>
              <w:bottom w:val="single" w:color="000000" w:sz="6" w:space="0"/>
              <w:right w:val="single" w:color="000000" w:sz="4" w:space="0"/>
            </w:tcBorders>
            <w:tcW w:w="1365" w:type="dxa"/>
            <w:textDirection w:val="lrTb"/>
            <w:noWrap w:val="false"/>
          </w:tcPr>
          <w:p>
            <w:pPr>
              <w:pStyle w:val="975"/>
              <w:pBdr/>
              <w:spacing/>
              <w:ind w:left="14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30%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tcW w:w="1200" w:type="dxa"/>
            <w:textDirection w:val="lrTb"/>
            <w:noWrap w:val="false"/>
          </w:tcPr>
          <w:p>
            <w:pPr>
              <w:pStyle w:val="975"/>
              <w:pBdr/>
              <w:spacing/>
              <w:ind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50%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rPr>
          <w:trHeight w:val="1380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100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180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4335" w:type="dxa"/>
            <w:textDirection w:val="lrTb"/>
            <w:noWrap w:val="false"/>
          </w:tcPr>
          <w:p>
            <w:pPr>
              <w:pStyle w:val="975"/>
              <w:pBdr/>
              <w:spacing/>
              <w:ind w:right="414" w:hanging="1" w:left="436"/>
              <w:rPr>
                <w:rFonts w:ascii="Times New Roman" w:hAnsi="Times New Roman" w:cs="Times New Roman"/>
                <w:b w:val="0"/>
                <w:bCs w:val="0"/>
                <w:sz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</w:rPr>
              <w:t xml:space="preserve">Рівень з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  <w:u w:val="none"/>
              </w:rPr>
              <w:t xml:space="preserve">меншення обсягів відходів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/>
                <w:sz w:val="24"/>
              </w:rPr>
              <w:t xml:space="preserve">, що підлягають захороненню на полігон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215" w:type="dxa"/>
            <w:textDirection w:val="lrTb"/>
            <w:noWrap w:val="false"/>
          </w:tcPr>
          <w:p>
            <w:pPr>
              <w:pStyle w:val="975"/>
              <w:pBdr/>
              <w:spacing/>
              <w:ind w:right="60" w:left="79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100%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320" w:type="dxa"/>
            <w:textDirection w:val="lrTb"/>
            <w:noWrap w:val="false"/>
          </w:tcPr>
          <w:p>
            <w:pPr>
              <w:pStyle w:val="975"/>
              <w:pBdr/>
              <w:spacing/>
              <w:ind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90%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8" w:space="0"/>
              <w:bottom w:val="single" w:color="000000" w:sz="6" w:space="0"/>
              <w:right w:val="single" w:color="000000" w:sz="4" w:space="0"/>
            </w:tcBorders>
            <w:tcW w:w="1365" w:type="dxa"/>
            <w:textDirection w:val="lrTb"/>
            <w:noWrap w:val="false"/>
          </w:tcPr>
          <w:p>
            <w:pPr>
              <w:pStyle w:val="975"/>
              <w:pBdr/>
              <w:spacing/>
              <w:ind w:left="14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70%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tcW w:w="1200" w:type="dxa"/>
            <w:textDirection w:val="lrTb"/>
            <w:noWrap w:val="false"/>
          </w:tcPr>
          <w:p>
            <w:pPr>
              <w:pStyle w:val="975"/>
              <w:pBdr/>
              <w:spacing/>
              <w:ind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50%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</w:tbl>
    <w:p w14:paraId="2D6C5804">
      <w:pPr>
        <w:pBdr/>
        <w:spacing/>
        <w:ind/>
        <w:rPr/>
      </w:pPr>
      <w:r/>
      <w:r/>
    </w:p>
    <w:p w14:paraId="285AC8C1">
      <w:pPr>
        <w:pBdr/>
        <w:spacing/>
        <w:ind/>
        <w:rPr/>
      </w:pPr>
      <w:r/>
      <w:r/>
    </w:p>
    <w:p w14:paraId="42612FE2">
      <w:pPr>
        <w:pBdr/>
        <w:spacing/>
        <w:ind/>
        <w:rPr/>
      </w:pPr>
      <w:r/>
      <w:r/>
    </w:p>
    <w:p w14:paraId="388F4BA5">
      <w:pPr>
        <w:pBdr/>
        <w:spacing/>
        <w:ind/>
        <w:rPr/>
      </w:pPr>
      <w:r/>
      <w:r/>
    </w:p>
    <w:p w14:paraId="5B9B550F">
      <w:pPr>
        <w:pBdr/>
        <w:spacing/>
        <w:ind/>
        <w:rPr/>
      </w:pPr>
      <w:r/>
      <w:r/>
    </w:p>
    <w:tbl>
      <w:tblPr>
        <w:tblInd w:w="83" w:type="dxa"/>
        <w:tblW w:w="0" w:type="auto"/>
        <w:tblCellMar>
          <w:left w:w="0" w:type="dxa"/>
          <w:top w:w="0" w:type="dxa"/>
          <w:right w:w="0" w:type="dxa"/>
          <w:bottom w:w="0" w:type="dxa"/>
        </w:tblCellMar>
        <w:tblBorders>
          <w:top w:val="single" w:color="cccccc" w:sz="8" w:space="0"/>
          <w:left w:val="single" w:color="cccccc" w:sz="8" w:space="0"/>
          <w:bottom w:val="single" w:color="cccccc" w:sz="8" w:space="0"/>
          <w:right w:val="single" w:color="cccccc" w:sz="8" w:space="0"/>
          <w:insideH w:val="single" w:color="cccccc" w:sz="8" w:space="0"/>
          <w:insideV w:val="single" w:color="cccccc" w:sz="8" w:space="0"/>
        </w:tblBorders>
        <w:tblLayout w:type="fixed"/>
        <w:tblLook w:val="01E0" w:firstRow="1" w:lastRow="1" w:firstColumn="1" w:lastColumn="1" w:noHBand="0" w:noVBand="0"/>
      </w:tblPr>
      <w:tblGrid>
        <w:gridCol w:w="14715"/>
      </w:tblGrid>
      <w:tr>
        <w:trPr>
          <w:trHeight w:val="900"/>
        </w:trPr>
        <w:tc>
          <w:tcPr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W w:w="14715" w:type="dxa"/>
            <w:textDirection w:val="lrTb"/>
            <w:noWrap w:val="false"/>
          </w:tcPr>
          <w:p w14:paraId="38136D48">
            <w:pPr>
              <w:pStyle w:val="975"/>
              <w:pBdr/>
              <w:spacing/>
              <w:ind w:left="4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spacing w:val="-2"/>
                <w:sz w:val="24"/>
                <w:highlight w:val="none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  <w:p w14:paraId="1B246696">
            <w:pPr>
              <w:pStyle w:val="975"/>
              <w:pBdr/>
              <w:spacing/>
              <w:ind w:left="40"/>
              <w:jc w:val="left"/>
              <w:rPr>
                <w:b/>
                <w:bCs/>
                <w:spacing w:val="-2"/>
                <w:sz w:val="24"/>
                <w:szCs w:val="24"/>
                <w:highlight w:val="none"/>
              </w:rPr>
            </w:pPr>
            <w:r>
              <w:rPr>
                <w:b/>
                <w:spacing w:val="-2"/>
                <w:sz w:val="24"/>
                <w:highlight w:val="none"/>
              </w:rPr>
            </w:r>
            <w:r>
              <w:rPr>
                <w:b/>
                <w:bCs/>
                <w:spacing w:val="-2"/>
                <w:sz w:val="24"/>
                <w:szCs w:val="24"/>
                <w:highlight w:val="none"/>
              </w:rPr>
            </w:r>
            <w:r>
              <w:rPr>
                <w:b/>
                <w:bCs/>
                <w:spacing w:val="-2"/>
                <w:sz w:val="24"/>
                <w:szCs w:val="24"/>
                <w:highlight w:val="none"/>
              </w:rPr>
            </w:r>
          </w:p>
          <w:p>
            <w:pPr>
              <w:pStyle w:val="975"/>
              <w:pBdr/>
              <w:spacing/>
              <w:ind w:left="40"/>
              <w:jc w:val="left"/>
              <w:rPr>
                <w:b/>
                <w:bCs/>
                <w:spacing w:val="-2"/>
                <w:sz w:val="24"/>
                <w:szCs w:val="24"/>
                <w:highlight w:val="none"/>
              </w:rPr>
            </w:pPr>
            <w:r>
              <w:rPr>
                <w:sz w:val="24"/>
              </w:rPr>
              <w:t xml:space="preserve">Пріоритетна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галузь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(сектор)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публічного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інвестування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Енергетика</w:t>
            </w:r>
            <w:r>
              <w:rPr>
                <w:b/>
                <w:bCs/>
                <w:spacing w:val="-2"/>
                <w:sz w:val="24"/>
                <w:szCs w:val="24"/>
                <w:highlight w:val="none"/>
              </w:rPr>
            </w:r>
            <w:r>
              <w:rPr>
                <w:b/>
                <w:bCs/>
                <w:spacing w:val="-2"/>
                <w:sz w:val="24"/>
                <w:szCs w:val="24"/>
                <w:highlight w:val="none"/>
              </w:rPr>
            </w:r>
          </w:p>
          <w:p w14:paraId="660B6380">
            <w:pPr>
              <w:pStyle w:val="975"/>
              <w:pBdr/>
              <w:spacing/>
              <w:ind w:right="-25" w:firstLine="0" w:left="40"/>
              <w:jc w:val="left"/>
              <w:rPr/>
            </w:pPr>
            <w:r>
              <w:rPr>
                <w:sz w:val="24"/>
                <w:szCs w:val="24"/>
              </w:rPr>
              <w:t xml:space="preserve">Структурний підрозділ відповідальний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за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галузь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(сектор)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для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публічного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інвестування</w:t>
            </w:r>
            <w:r>
              <w:rPr>
                <w:sz w:val="24"/>
                <w:szCs w:val="24"/>
              </w:rPr>
              <w:t xml:space="preserve"> –</w:t>
            </w:r>
            <w:r>
              <w:rPr>
                <w:sz w:val="24"/>
                <w:szCs w:val="24"/>
              </w:rPr>
              <w:t xml:space="preserve">  Відділ житлово-комунального господарства та благоустрою</w:t>
            </w:r>
            <w:r/>
          </w:p>
          <w:p>
            <w:pPr>
              <w:pStyle w:val="975"/>
              <w:pBdr/>
              <w:spacing/>
              <w:ind w:left="40"/>
              <w:jc w:val="left"/>
              <w:rPr>
                <w:b/>
                <w:bCs/>
                <w:spacing w:val="-4"/>
                <w:sz w:val="24"/>
                <w:szCs w:val="24"/>
                <w:highlight w:val="none"/>
              </w:rPr>
            </w:pPr>
            <w:r>
              <w:rPr>
                <w:sz w:val="24"/>
              </w:rPr>
              <w:t xml:space="preserve">Граничний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сукупний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обсяг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публічних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інвестицій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середньостроковий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період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галузь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(сектор)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 209,8 тис.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 xml:space="preserve">грн.</w:t>
            </w:r>
            <w:r>
              <w:rPr>
                <w:b/>
                <w:bCs/>
                <w:spacing w:val="-4"/>
                <w:sz w:val="24"/>
                <w:szCs w:val="24"/>
                <w:highlight w:val="none"/>
              </w:rPr>
            </w:r>
            <w:r>
              <w:rPr>
                <w:b/>
                <w:bCs/>
                <w:spacing w:val="-4"/>
                <w:sz w:val="24"/>
                <w:szCs w:val="24"/>
                <w:highlight w:val="none"/>
              </w:rPr>
            </w:r>
          </w:p>
          <w:p w14:paraId="3C1D7E95">
            <w:pPr>
              <w:pStyle w:val="975"/>
              <w:pBdr/>
              <w:spacing/>
              <w:ind w:left="4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spacing w:val="-4"/>
                <w:sz w:val="24"/>
                <w:highlight w:val="none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</w:tbl>
    <w:p>
      <w:pPr>
        <w:pStyle w:val="975"/>
        <w:pBdr/>
        <w:spacing w:after="0"/>
        <w:ind/>
        <w:rPr>
          <w:sz w:val="24"/>
        </w:rPr>
        <w:sectPr>
          <w:footnotePr/>
          <w:endnotePr/>
          <w:type w:val="continuous"/>
          <w:pgSz w:h="11910" w:orient="landscape" w:w="16840"/>
          <w:pgMar w:top="1280" w:right="708" w:bottom="1200" w:left="1275" w:header="0" w:footer="986" w:gutter="0"/>
          <w:cols w:num="1" w:sep="0" w:space="1701" w:equalWidth="1"/>
        </w:sect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tbl>
      <w:tblPr>
        <w:tblInd w:w="83" w:type="dxa"/>
        <w:tblW w:w="0" w:type="auto"/>
        <w:tblCellMar>
          <w:left w:w="0" w:type="dxa"/>
          <w:top w:w="0" w:type="dxa"/>
          <w:right w:w="0" w:type="dxa"/>
          <w:bottom w:w="0" w:type="dxa"/>
        </w:tblCellMar>
        <w:tblBorders>
          <w:top w:val="single" w:color="cccccc" w:sz="8" w:space="0"/>
          <w:left w:val="single" w:color="cccccc" w:sz="8" w:space="0"/>
          <w:bottom w:val="single" w:color="cccccc" w:sz="8" w:space="0"/>
          <w:right w:val="single" w:color="cccccc" w:sz="8" w:space="0"/>
          <w:insideH w:val="single" w:color="cccccc" w:sz="8" w:space="0"/>
          <w:insideV w:val="single" w:color="cccccc" w:sz="8" w:space="0"/>
        </w:tblBorders>
        <w:tblLayout w:type="fixed"/>
        <w:tblLook w:val="01E0" w:firstRow="1" w:lastRow="1" w:firstColumn="1" w:lastColumn="1" w:noHBand="0" w:noVBand="0"/>
      </w:tblPr>
      <w:tblGrid>
        <w:gridCol w:w="2100"/>
        <w:gridCol w:w="3180"/>
        <w:gridCol w:w="4335"/>
        <w:gridCol w:w="1215"/>
        <w:gridCol w:w="1320"/>
        <w:gridCol w:w="1365"/>
        <w:gridCol w:w="1200"/>
      </w:tblGrid>
      <w:tr>
        <w:trPr>
          <w:trHeight w:val="1005"/>
        </w:trPr>
        <w:tc>
          <w:tcPr>
            <w:tcBorders>
              <w:bottom w:val="single" w:color="000000" w:sz="8" w:space="0"/>
              <w:right w:val="single" w:color="000000" w:sz="8" w:space="0"/>
            </w:tcBorders>
            <w:tcW w:w="2100" w:type="dxa"/>
            <w:textDirection w:val="lrTb"/>
            <w:noWrap w:val="false"/>
          </w:tcPr>
          <w:p>
            <w:pPr>
              <w:pStyle w:val="975"/>
              <w:pBdr/>
              <w:spacing/>
              <w:ind w:right="11" w:left="3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Електроенергетика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180" w:type="dxa"/>
            <w:textDirection w:val="lrTb"/>
            <w:noWrap w:val="false"/>
          </w:tcPr>
          <w:p>
            <w:pPr>
              <w:pStyle w:val="975"/>
              <w:pBdr/>
              <w:spacing/>
              <w:ind w:right="12" w:left="34"/>
              <w:rPr>
                <w:sz w:val="24"/>
              </w:rPr>
            </w:pPr>
            <w:r>
              <w:rPr>
                <w:sz w:val="24"/>
              </w:rPr>
              <w:t xml:space="preserve">Розвиток та модернізація інфраструктури передачі та розподілу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електричної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енергії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4335" w:type="dxa"/>
            <w:textDirection w:val="lrTb"/>
            <w:noWrap w:val="false"/>
          </w:tcPr>
          <w:p>
            <w:pPr>
              <w:pStyle w:val="975"/>
              <w:pBdr/>
              <w:spacing/>
              <w:ind w:right="137" w:left="159"/>
              <w:rPr>
                <w:sz w:val="24"/>
              </w:rPr>
            </w:pPr>
            <w:r>
              <w:rPr>
                <w:sz w:val="24"/>
              </w:rPr>
              <w:t xml:space="preserve">Рівень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оновлення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розвитку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об’єктів інфраструктури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передачі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розподілу електричної енергії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215" w:type="dxa"/>
            <w:textDirection w:val="lrTb"/>
            <w:noWrap w:val="false"/>
          </w:tcPr>
          <w:p>
            <w:pPr>
              <w:pStyle w:val="975"/>
              <w:pBdr/>
              <w:spacing/>
              <w:ind w:right="60" w:left="79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10%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320" w:type="dxa"/>
            <w:textDirection w:val="lrTb"/>
            <w:noWrap w:val="false"/>
          </w:tcPr>
          <w:p>
            <w:pPr>
              <w:pStyle w:val="975"/>
              <w:pBdr/>
              <w:spacing/>
              <w:ind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40%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8" w:space="0"/>
              <w:bottom w:val="single" w:color="000000" w:sz="6" w:space="0"/>
              <w:right w:val="single" w:color="000000" w:sz="4" w:space="0"/>
            </w:tcBorders>
            <w:tcW w:w="1365" w:type="dxa"/>
            <w:textDirection w:val="lrTb"/>
            <w:noWrap w:val="false"/>
          </w:tcPr>
          <w:p>
            <w:pPr>
              <w:pStyle w:val="975"/>
              <w:pBdr/>
              <w:spacing/>
              <w:ind w:left="14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70%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tcW w:w="1200" w:type="dxa"/>
            <w:textDirection w:val="lrTb"/>
            <w:noWrap w:val="false"/>
          </w:tcPr>
          <w:p>
            <w:pPr>
              <w:pStyle w:val="975"/>
              <w:pBdr/>
              <w:spacing/>
              <w:ind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100%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rPr>
          <w:trHeight w:val="1103"/>
        </w:trPr>
        <w:tc>
          <w:tcPr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W w:w="2100" w:type="dxa"/>
            <w:textDirection w:val="lrTb"/>
            <w:noWrap w:val="false"/>
          </w:tcPr>
          <w:p>
            <w:pPr>
              <w:pStyle w:val="975"/>
              <w:pBdr/>
              <w:spacing w:line="270" w:lineRule="atLeast"/>
              <w:ind w:right="8" w:left="3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Відновлювальні </w:t>
            </w:r>
            <w:r>
              <w:rPr>
                <w:sz w:val="24"/>
              </w:rPr>
              <w:t xml:space="preserve">джерела енергії та альтернативні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види </w:t>
            </w:r>
            <w:r>
              <w:rPr>
                <w:spacing w:val="-2"/>
                <w:sz w:val="24"/>
              </w:rPr>
              <w:t xml:space="preserve">палива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180" w:type="dxa"/>
            <w:textDirection w:val="lrTb"/>
            <w:noWrap w:val="false"/>
          </w:tcPr>
          <w:p>
            <w:pPr>
              <w:pStyle w:val="975"/>
              <w:pBdr/>
              <w:spacing/>
              <w:ind w:right="12" w:left="35"/>
              <w:rPr>
                <w:sz w:val="24"/>
              </w:rPr>
            </w:pPr>
            <w:r>
              <w:rPr>
                <w:sz w:val="24"/>
              </w:rPr>
              <w:t xml:space="preserve">Розвиток та модернізація потужностей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відновлюваної </w:t>
            </w:r>
            <w:r>
              <w:rPr>
                <w:spacing w:val="-2"/>
                <w:sz w:val="24"/>
              </w:rPr>
              <w:t xml:space="preserve">енергетики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4335" w:type="dxa"/>
            <w:textDirection w:val="lrTb"/>
            <w:noWrap w:val="false"/>
          </w:tcPr>
          <w:p>
            <w:pPr>
              <w:pStyle w:val="975"/>
              <w:pBdr/>
              <w:spacing/>
              <w:ind w:right="22" w:hanging="614" w:left="816"/>
              <w:jc w:val="left"/>
              <w:rPr>
                <w:sz w:val="24"/>
              </w:rPr>
            </w:pPr>
            <w:r>
              <w:rPr>
                <w:sz w:val="24"/>
              </w:rPr>
              <w:t xml:space="preserve">Рівень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оновлення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розвитку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об’єктів відновлюваної енергетики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215" w:type="dxa"/>
            <w:textDirection w:val="lrTb"/>
            <w:noWrap w:val="false"/>
          </w:tcPr>
          <w:p>
            <w:pPr>
              <w:pStyle w:val="975"/>
              <w:pBdr/>
              <w:spacing/>
              <w:ind w:right="60" w:left="79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320" w:type="dxa"/>
            <w:textDirection w:val="lrTb"/>
            <w:noWrap w:val="false"/>
          </w:tcPr>
          <w:p>
            <w:pPr>
              <w:pStyle w:val="975"/>
              <w:pBdr/>
              <w:spacing/>
              <w:ind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8" w:space="0"/>
              <w:right w:val="single" w:color="000000" w:sz="4" w:space="0"/>
            </w:tcBorders>
            <w:tcW w:w="1365" w:type="dxa"/>
            <w:textDirection w:val="lrTb"/>
            <w:noWrap w:val="false"/>
          </w:tcPr>
          <w:p>
            <w:pPr>
              <w:pStyle w:val="975"/>
              <w:pBdr/>
              <w:spacing/>
              <w:ind w:left="14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30%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4" w:space="0"/>
              <w:right w:val="single" w:color="000000" w:sz="4" w:space="0"/>
            </w:tcBorders>
            <w:tcW w:w="1200" w:type="dxa"/>
            <w:textDirection w:val="lrTb"/>
            <w:noWrap w:val="false"/>
          </w:tcPr>
          <w:p>
            <w:pPr>
              <w:pStyle w:val="975"/>
              <w:pBdr/>
              <w:spacing/>
              <w:ind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50%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rPr>
          <w:trHeight w:val="930"/>
        </w:trPr>
        <w:tc>
          <w:tcPr>
            <w:gridSpan w:val="7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W w:w="14715" w:type="dxa"/>
            <w:textDirection w:val="lrTb"/>
            <w:noWrap w:val="false"/>
          </w:tcPr>
          <w:p w14:paraId="24F03B6B">
            <w:pPr>
              <w:pStyle w:val="975"/>
              <w:pBdr/>
              <w:spacing/>
              <w:ind w:right="2847" w:left="4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highlight w:val="none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975"/>
              <w:pBdr/>
              <w:spacing/>
              <w:ind w:right="117" w:firstLine="0" w:left="4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sz w:val="24"/>
              </w:rPr>
              <w:t xml:space="preserve">Пріоритетна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галузь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(сектор)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публічного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інвестування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–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Цифрова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трансформація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держави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суспільства 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  <w:p w14:paraId="774A31F1">
            <w:pPr>
              <w:pStyle w:val="975"/>
              <w:pBdr/>
              <w:spacing/>
              <w:ind w:right="117" w:firstLine="0" w:left="40"/>
              <w:jc w:val="left"/>
              <w:rPr>
                <w:b w:val="0"/>
                <w:bCs w:val="0"/>
                <w:sz w:val="24"/>
                <w:szCs w:val="24"/>
                <w:highlight w:val="none"/>
              </w:rPr>
            </w:pPr>
            <w:r>
              <w:rPr>
                <w:b/>
                <w:sz w:val="24"/>
              </w:rPr>
            </w:r>
            <w:r>
              <w:rPr>
                <w:sz w:val="24"/>
                <w:szCs w:val="24"/>
              </w:rPr>
              <w:t xml:space="preserve">Структурний підрозділ відповідальний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за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галузь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(сектор)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для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публічного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інвестуванн</w:t>
            </w:r>
            <w:r>
              <w:rPr>
                <w:sz w:val="24"/>
              </w:rPr>
              <w:t xml:space="preserve"> – </w:t>
            </w:r>
            <w:r>
              <w:rPr>
                <w:b w:val="0"/>
                <w:bCs w:val="0"/>
                <w:sz w:val="24"/>
              </w:rPr>
              <w:t xml:space="preserve">Відділ цифрової трансформації</w:t>
            </w:r>
            <w:r>
              <w:rPr>
                <w:b w:val="0"/>
                <w:bCs w:val="0"/>
                <w:sz w:val="24"/>
                <w:szCs w:val="24"/>
                <w:highlight w:val="none"/>
              </w:rPr>
            </w:r>
            <w:r>
              <w:rPr>
                <w:b w:val="0"/>
                <w:bCs w:val="0"/>
                <w:sz w:val="24"/>
                <w:szCs w:val="24"/>
                <w:highlight w:val="none"/>
              </w:rPr>
            </w:r>
          </w:p>
          <w:p>
            <w:pPr>
              <w:pStyle w:val="975"/>
              <w:pBdr/>
              <w:spacing/>
              <w:ind w:left="40"/>
              <w:jc w:val="left"/>
              <w:rPr>
                <w:b/>
                <w:bCs/>
                <w:spacing w:val="-4"/>
                <w:sz w:val="24"/>
                <w:szCs w:val="24"/>
                <w:highlight w:val="none"/>
              </w:rPr>
            </w:pPr>
            <w:r>
              <w:rPr>
                <w:sz w:val="24"/>
              </w:rPr>
              <w:t xml:space="preserve">Граничний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сукупний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обсяг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публічних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інвестицій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середньостроковий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період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галузь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(сектор)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   208,6 тис.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 xml:space="preserve">грн.</w:t>
            </w:r>
            <w:r>
              <w:rPr>
                <w:b/>
                <w:bCs/>
                <w:spacing w:val="-4"/>
                <w:sz w:val="24"/>
                <w:szCs w:val="24"/>
                <w:highlight w:val="none"/>
              </w:rPr>
            </w:r>
            <w:r>
              <w:rPr>
                <w:b/>
                <w:bCs/>
                <w:spacing w:val="-4"/>
                <w:sz w:val="24"/>
                <w:szCs w:val="24"/>
                <w:highlight w:val="none"/>
              </w:rPr>
            </w:r>
          </w:p>
          <w:p w14:paraId="1AFA603B">
            <w:pPr>
              <w:pStyle w:val="975"/>
              <w:pBdr/>
              <w:spacing/>
              <w:ind w:left="4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spacing w:val="-4"/>
                <w:sz w:val="24"/>
                <w:highlight w:val="none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>
          <w:trHeight w:val="2830"/>
        </w:trPr>
        <w:tc>
          <w:tcPr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W w:w="2100" w:type="dxa"/>
            <w:textDirection w:val="lrTb"/>
            <w:noWrap w:val="false"/>
          </w:tcPr>
          <w:p>
            <w:pPr>
              <w:pStyle w:val="975"/>
              <w:pBdr/>
              <w:spacing/>
              <w:ind w:right="148" w:firstLine="49" w:left="172"/>
              <w:jc w:val="left"/>
              <w:rPr>
                <w:sz w:val="24"/>
              </w:rPr>
            </w:pPr>
            <w:r>
              <w:rPr>
                <w:sz w:val="24"/>
              </w:rPr>
              <w:t xml:space="preserve">Цифровізація та публічні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послуги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180" w:type="dxa"/>
            <w:textDirection w:val="lrTb"/>
            <w:noWrap w:val="false"/>
          </w:tcPr>
          <w:p>
            <w:pPr>
              <w:pStyle w:val="975"/>
              <w:pBdr/>
              <w:spacing w:line="270" w:lineRule="atLeast"/>
              <w:ind w:right="70" w:firstLine="1" w:left="90"/>
              <w:rPr>
                <w:sz w:val="24"/>
              </w:rPr>
            </w:pPr>
            <w:r>
              <w:rPr>
                <w:sz w:val="24"/>
              </w:rPr>
              <w:t xml:space="preserve">Створення та забезпечення розвитку </w:t>
            </w:r>
            <w:r>
              <w:rPr>
                <w:spacing w:val="-2"/>
                <w:sz w:val="24"/>
              </w:rPr>
              <w:t xml:space="preserve">інформаційних (автоматизованих), </w:t>
            </w:r>
            <w:r>
              <w:rPr>
                <w:sz w:val="24"/>
              </w:rPr>
              <w:t xml:space="preserve">електронних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комунікаційних та інформаційно-комунікаційних систем для управління розвитком електронного урядування, включаючи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заходи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із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захисту інформації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4335" w:type="dxa"/>
            <w:textDirection w:val="lrTb"/>
            <w:noWrap w:val="false"/>
          </w:tcPr>
          <w:p>
            <w:pPr>
              <w:pStyle w:val="975"/>
              <w:pBdr/>
              <w:spacing/>
              <w:ind w:right="58" w:hanging="1" w:left="80"/>
              <w:rPr>
                <w:sz w:val="24"/>
              </w:rPr>
            </w:pPr>
            <w:r>
              <w:rPr>
                <w:sz w:val="24"/>
              </w:rPr>
              <w:t xml:space="preserve">Рівень реалізації заходів з розвитку інформаційних систем, публічних електронних реєстрів та захисту інформації 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215" w:type="dxa"/>
            <w:textDirection w:val="lrTb"/>
            <w:noWrap w:val="false"/>
          </w:tcPr>
          <w:p>
            <w:pPr>
              <w:pStyle w:val="975"/>
              <w:pBdr/>
              <w:spacing/>
              <w:ind w:right="60" w:left="79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20%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320" w:type="dxa"/>
            <w:textDirection w:val="lrTb"/>
            <w:noWrap w:val="false"/>
          </w:tcPr>
          <w:p>
            <w:pPr>
              <w:pStyle w:val="975"/>
              <w:pBdr/>
              <w:spacing/>
              <w:ind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40%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4" w:space="0"/>
            </w:tcBorders>
            <w:tcW w:w="1365" w:type="dxa"/>
            <w:textDirection w:val="lrTb"/>
            <w:noWrap w:val="false"/>
          </w:tcPr>
          <w:p>
            <w:pPr>
              <w:pStyle w:val="975"/>
              <w:pBdr/>
              <w:spacing/>
              <w:ind w:left="14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60%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tcW w:w="1200" w:type="dxa"/>
            <w:textDirection w:val="lrTb"/>
            <w:noWrap w:val="false"/>
          </w:tcPr>
          <w:p>
            <w:pPr>
              <w:pStyle w:val="975"/>
              <w:pBdr/>
              <w:spacing/>
              <w:ind w:left="20"/>
              <w:rPr>
                <w:sz w:val="24"/>
              </w:rPr>
            </w:pPr>
            <w:r>
              <w:rPr>
                <w:sz w:val="24"/>
              </w:rPr>
              <w:t xml:space="preserve">80%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</w:tbl>
    <w:p>
      <w:pPr>
        <w:pStyle w:val="975"/>
        <w:pBdr/>
        <w:spacing w:after="0"/>
        <w:ind/>
        <w:rPr>
          <w:sz w:val="24"/>
        </w:rPr>
        <w:sectPr>
          <w:footnotePr/>
          <w:endnotePr/>
          <w:type w:val="continuous"/>
          <w:pgSz w:h="11910" w:orient="landscape" w:w="16840"/>
          <w:pgMar w:top="1280" w:right="708" w:bottom="1200" w:left="1275" w:header="0" w:footer="986" w:gutter="0"/>
          <w:cols w:num="1" w:sep="0" w:space="1701" w:equalWidth="1"/>
        </w:sect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tbl>
      <w:tblPr>
        <w:tblInd w:w="83" w:type="dxa"/>
        <w:tblW w:w="0" w:type="auto"/>
        <w:tblCellMar>
          <w:left w:w="0" w:type="dxa"/>
          <w:top w:w="0" w:type="dxa"/>
          <w:right w:w="0" w:type="dxa"/>
          <w:bottom w:w="0" w:type="dxa"/>
        </w:tblCellMar>
        <w:tblBorders>
          <w:top w:val="single" w:color="cccccc" w:sz="8" w:space="0"/>
          <w:left w:val="single" w:color="cccccc" w:sz="8" w:space="0"/>
          <w:bottom w:val="single" w:color="cccccc" w:sz="8" w:space="0"/>
          <w:right w:val="single" w:color="cccccc" w:sz="8" w:space="0"/>
          <w:insideH w:val="single" w:color="cccccc" w:sz="8" w:space="0"/>
          <w:insideV w:val="single" w:color="cccccc" w:sz="8" w:space="0"/>
        </w:tblBorders>
        <w:tblLayout w:type="fixed"/>
        <w:tblLook w:val="01E0" w:firstRow="1" w:lastRow="1" w:firstColumn="1" w:lastColumn="1" w:noHBand="0" w:noVBand="0"/>
      </w:tblPr>
      <w:tblGrid>
        <w:gridCol w:w="2100"/>
        <w:gridCol w:w="3180"/>
        <w:gridCol w:w="4335"/>
        <w:gridCol w:w="1215"/>
        <w:gridCol w:w="1320"/>
        <w:gridCol w:w="1365"/>
        <w:gridCol w:w="1200"/>
      </w:tblGrid>
      <w:tr>
        <w:trPr>
          <w:trHeight w:val="930"/>
        </w:trPr>
        <w:tc>
          <w:tcPr>
            <w:gridSpan w:val="7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W w:w="14715" w:type="dxa"/>
            <w:textDirection w:val="lrTb"/>
            <w:noWrap w:val="false"/>
          </w:tcPr>
          <w:p w14:paraId="0C71B008">
            <w:pPr>
              <w:pStyle w:val="975"/>
              <w:pBdr/>
              <w:spacing/>
              <w:ind w:right="5573" w:left="40"/>
              <w:jc w:val="left"/>
              <w:rPr>
                <w:b/>
                <w:bCs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highlight w:val="none"/>
              </w:rPr>
            </w:r>
            <w:r>
              <w:rPr>
                <w:b/>
                <w:bCs/>
                <w:sz w:val="24"/>
                <w:szCs w:val="24"/>
                <w:highlight w:val="none"/>
              </w:rPr>
            </w:r>
            <w:r>
              <w:rPr>
                <w:b/>
                <w:bCs/>
                <w:sz w:val="24"/>
                <w:szCs w:val="24"/>
                <w:highlight w:val="none"/>
              </w:rPr>
            </w:r>
          </w:p>
          <w:p w14:paraId="3BFE1D8B">
            <w:pPr>
              <w:pStyle w:val="975"/>
              <w:pBdr/>
              <w:spacing/>
              <w:ind w:right="-25" w:firstLine="0" w:left="4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sz w:val="24"/>
              </w:rPr>
              <w:t xml:space="preserve">Пріоритетна галузь (сектор) для публічного інвестування – </w:t>
            </w:r>
            <w:r>
              <w:rPr>
                <w:b/>
                <w:sz w:val="24"/>
              </w:rPr>
              <w:t xml:space="preserve">Освіта і наука 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  <w:p w14:paraId="189B08DB">
            <w:pPr>
              <w:pStyle w:val="975"/>
              <w:pBdr/>
              <w:spacing/>
              <w:ind w:right="-25" w:firstLine="0" w:left="40"/>
              <w:jc w:val="left"/>
              <w:rPr/>
            </w:pPr>
            <w:r>
              <w:rPr>
                <w:b/>
                <w:sz w:val="24"/>
              </w:rPr>
            </w:r>
            <w:r>
              <w:rPr>
                <w:sz w:val="24"/>
                <w:szCs w:val="24"/>
              </w:rPr>
              <w:t xml:space="preserve">Структурний підрозділ відповідальний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за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галузь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(сектор)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для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публічного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інвестування</w:t>
            </w:r>
            <w:r>
              <w:rPr>
                <w:sz w:val="24"/>
                <w:szCs w:val="24"/>
              </w:rPr>
              <w:t xml:space="preserve"> –</w:t>
            </w:r>
            <w:r>
              <w:rPr>
                <w:sz w:val="24"/>
                <w:szCs w:val="24"/>
              </w:rPr>
              <w:t xml:space="preserve">  Відділ освіти</w:t>
            </w:r>
            <w:r>
              <w:rPr>
                <w:b/>
                <w:sz w:val="24"/>
              </w:rPr>
            </w:r>
            <w:r/>
          </w:p>
          <w:p>
            <w:pPr>
              <w:pStyle w:val="975"/>
              <w:pBdr/>
              <w:spacing/>
              <w:ind w:left="40"/>
              <w:jc w:val="left"/>
              <w:rPr>
                <w:b/>
                <w:bCs/>
                <w:spacing w:val="-4"/>
                <w:sz w:val="24"/>
                <w:szCs w:val="24"/>
                <w:highlight w:val="none"/>
              </w:rPr>
            </w:pPr>
            <w:r>
              <w:rPr>
                <w:sz w:val="24"/>
              </w:rPr>
              <w:t xml:space="preserve">Граничний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сукупний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обсяг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публічних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інвестицій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середньостроковий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період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галузь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(сектор)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   306,8 тис.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 xml:space="preserve">грн.</w:t>
            </w:r>
            <w:r>
              <w:rPr>
                <w:b/>
                <w:bCs/>
                <w:spacing w:val="-4"/>
                <w:sz w:val="24"/>
                <w:szCs w:val="24"/>
                <w:highlight w:val="none"/>
              </w:rPr>
            </w:r>
            <w:r>
              <w:rPr>
                <w:b/>
                <w:bCs/>
                <w:spacing w:val="-4"/>
                <w:sz w:val="24"/>
                <w:szCs w:val="24"/>
                <w:highlight w:val="none"/>
              </w:rPr>
            </w:r>
          </w:p>
          <w:p w14:paraId="32DB4470">
            <w:pPr>
              <w:pStyle w:val="975"/>
              <w:pBdr/>
              <w:spacing/>
              <w:ind w:left="4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spacing w:val="-4"/>
                <w:sz w:val="24"/>
                <w:highlight w:val="none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>
          <w:trHeight w:val="645"/>
        </w:trPr>
        <w:tc>
          <w:tcPr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W w:w="2100" w:type="dxa"/>
            <w:vMerge w:val="restart"/>
            <w:textDirection w:val="lrTb"/>
            <w:noWrap w:val="false"/>
          </w:tcPr>
          <w:p>
            <w:pPr>
              <w:pStyle w:val="975"/>
              <w:pBdr/>
              <w:spacing/>
              <w:ind w:right="10" w:left="3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Освіта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180" w:type="dxa"/>
            <w:vMerge w:val="restart"/>
            <w:textDirection w:val="lrTb"/>
            <w:noWrap w:val="false"/>
          </w:tcPr>
          <w:p>
            <w:pPr>
              <w:pStyle w:val="975"/>
              <w:pBdr/>
              <w:spacing/>
              <w:ind w:right="12" w:left="34"/>
              <w:rPr>
                <w:sz w:val="24"/>
              </w:rPr>
            </w:pPr>
            <w:r>
              <w:rPr>
                <w:sz w:val="24"/>
              </w:rPr>
              <w:t xml:space="preserve">Облаштування захисних споруд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цивільного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захисту (укриттів) у закладах та установах освіти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4335" w:type="dxa"/>
            <w:textDirection w:val="lrTb"/>
            <w:noWrap w:val="false"/>
          </w:tcPr>
          <w:p>
            <w:pPr>
              <w:pStyle w:val="975"/>
              <w:pBdr/>
              <w:spacing/>
              <w:ind w:right="22" w:hanging="178" w:left="248"/>
              <w:jc w:val="left"/>
              <w:rPr>
                <w:sz w:val="24"/>
              </w:rPr>
            </w:pPr>
            <w:r>
              <w:rPr>
                <w:sz w:val="24"/>
              </w:rPr>
              <w:t xml:space="preserve">Рівень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забезпечення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закладів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 освіти спорудами цивільного захисту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215" w:type="dxa"/>
            <w:textDirection w:val="lrTb"/>
            <w:noWrap w:val="false"/>
          </w:tcPr>
          <w:p>
            <w:pPr>
              <w:pStyle w:val="975"/>
              <w:pBdr/>
              <w:spacing/>
              <w:ind w:right="60" w:left="79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30%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320" w:type="dxa"/>
            <w:textDirection w:val="lrTb"/>
            <w:noWrap w:val="false"/>
          </w:tcPr>
          <w:p>
            <w:pPr>
              <w:pStyle w:val="975"/>
              <w:pBdr/>
              <w:spacing/>
              <w:ind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40%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4" w:space="0"/>
            </w:tcBorders>
            <w:tcW w:w="1365" w:type="dxa"/>
            <w:textDirection w:val="lrTb"/>
            <w:noWrap w:val="false"/>
          </w:tcPr>
          <w:p>
            <w:pPr>
              <w:pStyle w:val="975"/>
              <w:pBdr/>
              <w:spacing/>
              <w:ind w:left="14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65%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tcW w:w="1200" w:type="dxa"/>
            <w:textDirection w:val="lrTb"/>
            <w:noWrap w:val="false"/>
          </w:tcPr>
          <w:p>
            <w:pPr>
              <w:pStyle w:val="975"/>
              <w:pBdr/>
              <w:spacing/>
              <w:ind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80%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rPr>
          <w:trHeight w:val="1623"/>
        </w:trPr>
        <w:tc>
          <w:tcPr>
            <w:tcBorders>
              <w:top w:val="none" w:color="000000" w:sz="4" w:space="0"/>
              <w:bottom w:val="single" w:color="000000" w:sz="8" w:space="0"/>
              <w:right w:val="single" w:color="000000" w:sz="8" w:space="0"/>
            </w:tcBorders>
            <w:tcW w:w="2100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180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4335" w:type="dxa"/>
            <w:textDirection w:val="lrTb"/>
            <w:noWrap w:val="false"/>
          </w:tcPr>
          <w:p>
            <w:pPr>
              <w:pStyle w:val="975"/>
              <w:pBdr/>
              <w:spacing/>
              <w:ind w:right="24" w:firstLine="164" w:left="46"/>
              <w:jc w:val="both"/>
              <w:rPr>
                <w:spacing w:val="-5"/>
                <w:sz w:val="24"/>
                <w:szCs w:val="24"/>
                <w:highlight w:val="none"/>
              </w:rPr>
            </w:pPr>
            <w:r>
              <w:rPr>
                <w:sz w:val="24"/>
              </w:rPr>
              <w:t xml:space="preserve">Частка здобувачів освіти, які мають можливість укриття в захисних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спорудах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цивільного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захисту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 xml:space="preserve">та</w:t>
            </w:r>
            <w:r>
              <w:rPr>
                <w:spacing w:val="-5"/>
                <w:sz w:val="24"/>
                <w:szCs w:val="24"/>
                <w:highlight w:val="none"/>
              </w:rPr>
            </w:r>
            <w:r>
              <w:rPr>
                <w:spacing w:val="-5"/>
                <w:sz w:val="24"/>
                <w:szCs w:val="24"/>
                <w:highlight w:val="none"/>
              </w:rPr>
            </w:r>
          </w:p>
          <w:p w14:paraId="071648DF">
            <w:pPr>
              <w:pStyle w:val="975"/>
              <w:pBdr/>
              <w:spacing/>
              <w:ind w:right="22" w:hanging="688" w:left="118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об’єктах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фонду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захисних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споруд цивільного захисту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215" w:type="dxa"/>
            <w:textDirection w:val="lrTb"/>
            <w:noWrap w:val="false"/>
          </w:tcPr>
          <w:p>
            <w:pPr>
              <w:pStyle w:val="975"/>
              <w:pBdr/>
              <w:spacing/>
              <w:ind w:right="60" w:left="79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70%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320" w:type="dxa"/>
            <w:textDirection w:val="lrTb"/>
            <w:noWrap w:val="false"/>
          </w:tcPr>
          <w:p>
            <w:pPr>
              <w:pStyle w:val="975"/>
              <w:pBdr/>
              <w:spacing/>
              <w:ind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80%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8" w:space="0"/>
              <w:bottom w:val="single" w:color="000000" w:sz="6" w:space="0"/>
              <w:right w:val="single" w:color="000000" w:sz="4" w:space="0"/>
            </w:tcBorders>
            <w:tcW w:w="1365" w:type="dxa"/>
            <w:textDirection w:val="lrTb"/>
            <w:noWrap w:val="false"/>
          </w:tcPr>
          <w:p>
            <w:pPr>
              <w:pStyle w:val="975"/>
              <w:pBdr/>
              <w:spacing/>
              <w:ind w:left="14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96%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tcW w:w="1200" w:type="dxa"/>
            <w:textDirection w:val="lrTb"/>
            <w:noWrap w:val="false"/>
          </w:tcPr>
          <w:p>
            <w:pPr>
              <w:pStyle w:val="975"/>
              <w:pBdr/>
              <w:spacing/>
              <w:ind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98%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</w:tbl>
    <w:tbl>
      <w:tblPr>
        <w:tblInd w:w="83" w:type="dxa"/>
        <w:tblW w:w="0" w:type="auto"/>
        <w:tblCellMar>
          <w:left w:w="0" w:type="dxa"/>
          <w:top w:w="0" w:type="dxa"/>
          <w:right w:w="0" w:type="dxa"/>
          <w:bottom w:w="0" w:type="dxa"/>
        </w:tblCellMar>
        <w:tblBorders>
          <w:top w:val="single" w:color="cccccc" w:sz="8" w:space="0"/>
          <w:left w:val="single" w:color="cccccc" w:sz="8" w:space="0"/>
          <w:bottom w:val="single" w:color="cccccc" w:sz="8" w:space="0"/>
          <w:right w:val="single" w:color="cccccc" w:sz="8" w:space="0"/>
          <w:insideH w:val="single" w:color="cccccc" w:sz="8" w:space="0"/>
          <w:insideV w:val="single" w:color="cccccc" w:sz="8" w:space="0"/>
        </w:tblBorders>
        <w:tblLayout w:type="fixed"/>
        <w:tblLook w:val="01E0" w:firstRow="1" w:lastRow="1" w:firstColumn="1" w:lastColumn="1" w:noHBand="0" w:noVBand="0"/>
      </w:tblPr>
      <w:tblGrid>
        <w:gridCol w:w="2100"/>
        <w:gridCol w:w="3180"/>
        <w:gridCol w:w="4335"/>
        <w:gridCol w:w="1215"/>
        <w:gridCol w:w="1320"/>
        <w:gridCol w:w="1365"/>
        <w:gridCol w:w="1200"/>
      </w:tblGrid>
      <w:tr>
        <w:trPr>
          <w:trHeight w:val="870"/>
        </w:trPr>
        <w:tc>
          <w:tcPr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W w:w="2100" w:type="dxa"/>
            <w:vMerge w:val="restart"/>
            <w:textDirection w:val="lrTb"/>
            <w:noWrap w:val="false"/>
          </w:tcPr>
          <w:p>
            <w:pPr>
              <w:pStyle w:val="975"/>
              <w:pBdr/>
              <w:spacing/>
              <w:ind w:right="10" w:left="3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Освіта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180" w:type="dxa"/>
            <w:vMerge w:val="restart"/>
            <w:textDirection w:val="lrTb"/>
            <w:noWrap w:val="false"/>
          </w:tcPr>
          <w:p>
            <w:pPr>
              <w:pStyle w:val="975"/>
              <w:pBdr/>
              <w:spacing/>
              <w:ind w:right="13" w:left="34"/>
              <w:rPr>
                <w:sz w:val="24"/>
              </w:rPr>
            </w:pPr>
            <w:r>
              <w:rPr>
                <w:sz w:val="24"/>
              </w:rPr>
              <w:t xml:space="preserve">Сучасний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освітній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простір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та якісний зміст: лабораторії, майстерні, кабінети тощо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4335" w:type="dxa"/>
            <w:textDirection w:val="lrTb"/>
            <w:noWrap w:val="false"/>
          </w:tcPr>
          <w:p>
            <w:pPr>
              <w:pStyle w:val="975"/>
              <w:pBdr/>
              <w:spacing/>
              <w:ind w:right="23" w:left="44"/>
              <w:rPr>
                <w:sz w:val="24"/>
              </w:rPr>
            </w:pPr>
            <w:r>
              <w:rPr>
                <w:sz w:val="24"/>
              </w:rPr>
              <w:t xml:space="preserve">Рівень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приведення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закладів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 освіти у відповідність до державних </w:t>
            </w:r>
            <w:r>
              <w:rPr>
                <w:spacing w:val="-2"/>
                <w:sz w:val="24"/>
              </w:rPr>
              <w:t xml:space="preserve">стандартів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215" w:type="dxa"/>
            <w:textDirection w:val="lrTb"/>
            <w:noWrap w:val="false"/>
          </w:tcPr>
          <w:p>
            <w:pPr>
              <w:pStyle w:val="975"/>
              <w:pBdr/>
              <w:spacing/>
              <w:ind w:right="60" w:left="79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10%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320" w:type="dxa"/>
            <w:textDirection w:val="lrTb"/>
            <w:noWrap w:val="false"/>
          </w:tcPr>
          <w:p>
            <w:pPr>
              <w:pStyle w:val="975"/>
              <w:pBdr/>
              <w:spacing/>
              <w:ind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30%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8" w:space="0"/>
              <w:bottom w:val="single" w:color="000000" w:sz="6" w:space="0"/>
              <w:right w:val="single" w:color="000000" w:sz="4" w:space="0"/>
            </w:tcBorders>
            <w:tcW w:w="1365" w:type="dxa"/>
            <w:textDirection w:val="lrTb"/>
            <w:noWrap w:val="false"/>
          </w:tcPr>
          <w:p>
            <w:pPr>
              <w:pStyle w:val="975"/>
              <w:pBdr/>
              <w:spacing/>
              <w:ind w:left="14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60%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tcW w:w="1200" w:type="dxa"/>
            <w:textDirection w:val="lrTb"/>
            <w:noWrap w:val="false"/>
          </w:tcPr>
          <w:p>
            <w:pPr>
              <w:pStyle w:val="975"/>
              <w:pBdr/>
              <w:spacing/>
              <w:ind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100%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rPr>
          <w:trHeight w:val="847"/>
        </w:trPr>
        <w:tc>
          <w:tcPr>
            <w:tcBorders>
              <w:top w:val="none" w:color="000000" w:sz="4" w:space="0"/>
              <w:bottom w:val="single" w:color="000000" w:sz="8" w:space="0"/>
              <w:right w:val="single" w:color="000000" w:sz="8" w:space="0"/>
            </w:tcBorders>
            <w:tcW w:w="2100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180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4335" w:type="dxa"/>
            <w:textDirection w:val="lrTb"/>
            <w:noWrap w:val="false"/>
          </w:tcPr>
          <w:p>
            <w:pPr>
              <w:pStyle w:val="975"/>
              <w:pBdr/>
              <w:spacing/>
              <w:ind w:right="56" w:hanging="1" w:left="78"/>
              <w:rPr>
                <w:sz w:val="24"/>
              </w:rPr>
            </w:pPr>
            <w:r>
              <w:rPr>
                <w:sz w:val="24"/>
              </w:rPr>
              <w:t xml:space="preserve">Рівень розвитку сучасного освітнього середовища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закладів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загальної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середньої </w:t>
            </w:r>
            <w:r>
              <w:rPr>
                <w:spacing w:val="-2"/>
                <w:sz w:val="24"/>
              </w:rPr>
              <w:t xml:space="preserve">освіти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215" w:type="dxa"/>
            <w:textDirection w:val="lrTb"/>
            <w:noWrap w:val="false"/>
          </w:tcPr>
          <w:p>
            <w:pPr>
              <w:pStyle w:val="975"/>
              <w:pBdr/>
              <w:spacing/>
              <w:ind w:right="60" w:left="79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30%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320" w:type="dxa"/>
            <w:textDirection w:val="lrTb"/>
            <w:noWrap w:val="false"/>
          </w:tcPr>
          <w:p>
            <w:pPr>
              <w:pStyle w:val="975"/>
              <w:pBdr/>
              <w:spacing/>
              <w:ind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60%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8" w:space="0"/>
              <w:bottom w:val="single" w:color="000000" w:sz="6" w:space="0"/>
              <w:right w:val="single" w:color="000000" w:sz="4" w:space="0"/>
            </w:tcBorders>
            <w:tcW w:w="1365" w:type="dxa"/>
            <w:textDirection w:val="lrTb"/>
            <w:noWrap w:val="false"/>
          </w:tcPr>
          <w:p>
            <w:pPr>
              <w:pStyle w:val="975"/>
              <w:pBdr/>
              <w:spacing/>
              <w:ind w:left="14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80%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tcW w:w="1200" w:type="dxa"/>
            <w:textDirection w:val="lrTb"/>
            <w:noWrap w:val="false"/>
          </w:tcPr>
          <w:p>
            <w:pPr>
              <w:pStyle w:val="975"/>
              <w:pBdr/>
              <w:spacing/>
              <w:ind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100%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rPr>
          <w:trHeight w:val="600"/>
        </w:trPr>
        <w:tc>
          <w:tcPr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W w:w="2100" w:type="dxa"/>
            <w:vMerge w:val="restart"/>
            <w:textDirection w:val="lrTb"/>
            <w:noWrap w:val="false"/>
          </w:tcPr>
          <w:p>
            <w:pPr>
              <w:pStyle w:val="975"/>
              <w:pBdr/>
              <w:spacing/>
              <w:ind w:right="10" w:left="3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Освіта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180" w:type="dxa"/>
            <w:vMerge w:val="restart"/>
            <w:textDirection w:val="lrTb"/>
            <w:noWrap w:val="false"/>
          </w:tcPr>
          <w:p>
            <w:pPr>
              <w:pStyle w:val="975"/>
              <w:pBdr/>
              <w:spacing/>
              <w:ind w:right="106" w:hanging="16" w:left="14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Житлові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простори: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розвиток 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модернізація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пансіонів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та гуртожитків закладів освіти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4335" w:type="dxa"/>
            <w:textDirection w:val="lrTb"/>
            <w:noWrap w:val="false"/>
          </w:tcPr>
          <w:p>
            <w:pPr>
              <w:pStyle w:val="975"/>
              <w:pBdr/>
              <w:spacing/>
              <w:ind w:right="22" w:firstLine="242" w:left="555"/>
              <w:jc w:val="left"/>
              <w:rPr>
                <w:sz w:val="24"/>
              </w:rPr>
            </w:pPr>
            <w:r>
              <w:rPr>
                <w:sz w:val="24"/>
              </w:rPr>
              <w:t xml:space="preserve">Рівень оновленої житлової інфраструктури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закладів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освіти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215" w:type="dxa"/>
            <w:textDirection w:val="lrTb"/>
            <w:noWrap w:val="false"/>
          </w:tcPr>
          <w:p>
            <w:pPr>
              <w:pStyle w:val="975"/>
              <w:pBdr/>
              <w:spacing/>
              <w:ind w:right="60" w:left="79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320" w:type="dxa"/>
            <w:textDirection w:val="lrTb"/>
            <w:noWrap w:val="false"/>
          </w:tcPr>
          <w:p>
            <w:pPr>
              <w:pStyle w:val="975"/>
              <w:pBdr/>
              <w:spacing/>
              <w:ind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8" w:space="0"/>
              <w:bottom w:val="single" w:color="000000" w:sz="6" w:space="0"/>
              <w:right w:val="single" w:color="000000" w:sz="4" w:space="0"/>
            </w:tcBorders>
            <w:tcW w:w="1365" w:type="dxa"/>
            <w:textDirection w:val="lrTb"/>
            <w:noWrap w:val="false"/>
          </w:tcPr>
          <w:p>
            <w:pPr>
              <w:pStyle w:val="975"/>
              <w:pBdr/>
              <w:spacing/>
              <w:ind w:left="14"/>
              <w:rPr>
                <w:sz w:val="24"/>
              </w:rPr>
            </w:pPr>
            <w:r>
              <w:rPr>
                <w:sz w:val="24"/>
              </w:rPr>
              <w:t xml:space="preserve">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tcW w:w="1200" w:type="dxa"/>
            <w:textDirection w:val="lrTb"/>
            <w:noWrap w:val="false"/>
          </w:tcPr>
          <w:p>
            <w:pPr>
              <w:pStyle w:val="975"/>
              <w:pBdr/>
              <w:spacing/>
              <w:ind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100%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rPr>
          <w:trHeight w:val="555"/>
        </w:trPr>
        <w:tc>
          <w:tcPr>
            <w:tcBorders>
              <w:top w:val="none" w:color="000000" w:sz="4" w:space="0"/>
              <w:bottom w:val="single" w:color="000000" w:sz="8" w:space="0"/>
              <w:right w:val="single" w:color="000000" w:sz="8" w:space="0"/>
            </w:tcBorders>
            <w:tcW w:w="2100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180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4335" w:type="dxa"/>
            <w:textDirection w:val="lrTb"/>
            <w:noWrap w:val="false"/>
          </w:tcPr>
          <w:p>
            <w:pPr>
              <w:pStyle w:val="975"/>
              <w:pBdr/>
              <w:spacing w:line="270" w:lineRule="atLeast"/>
              <w:ind w:hanging="113" w:left="855"/>
              <w:jc w:val="left"/>
              <w:rPr>
                <w:sz w:val="24"/>
              </w:rPr>
            </w:pPr>
            <w:r>
              <w:rPr>
                <w:sz w:val="24"/>
              </w:rPr>
              <w:t xml:space="preserve">Частка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академічних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ліцеїв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з облаштованим пансіоном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215" w:type="dxa"/>
            <w:textDirection w:val="lrTb"/>
            <w:noWrap w:val="false"/>
          </w:tcPr>
          <w:p>
            <w:pPr>
              <w:pStyle w:val="975"/>
              <w:pBdr/>
              <w:spacing/>
              <w:ind w:right="60" w:left="79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320" w:type="dxa"/>
            <w:textDirection w:val="lrTb"/>
            <w:noWrap w:val="false"/>
          </w:tcPr>
          <w:p>
            <w:pPr>
              <w:pStyle w:val="975"/>
              <w:pBdr/>
              <w:spacing/>
              <w:ind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8" w:space="0"/>
              <w:bottom w:val="single" w:color="000000" w:sz="6" w:space="0"/>
              <w:right w:val="single" w:color="000000" w:sz="4" w:space="0"/>
            </w:tcBorders>
            <w:tcW w:w="1365" w:type="dxa"/>
            <w:textDirection w:val="lrTb"/>
            <w:noWrap w:val="false"/>
          </w:tcPr>
          <w:p>
            <w:pPr>
              <w:pStyle w:val="975"/>
              <w:pBdr/>
              <w:spacing/>
              <w:ind w:left="14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tcW w:w="1200" w:type="dxa"/>
            <w:textDirection w:val="lrTb"/>
            <w:noWrap w:val="false"/>
          </w:tcPr>
          <w:p>
            <w:pPr>
              <w:pStyle w:val="975"/>
              <w:pBdr/>
              <w:spacing/>
              <w:ind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100%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</w:tbl>
    <w:tbl>
      <w:tblPr>
        <w:tblInd w:w="83" w:type="dxa"/>
        <w:tblW w:w="0" w:type="auto"/>
        <w:tblCellMar>
          <w:left w:w="0" w:type="dxa"/>
          <w:top w:w="0" w:type="dxa"/>
          <w:right w:w="0" w:type="dxa"/>
          <w:bottom w:w="0" w:type="dxa"/>
        </w:tblCellMar>
        <w:tblBorders>
          <w:top w:val="single" w:color="cccccc" w:sz="8" w:space="0"/>
          <w:left w:val="single" w:color="cccccc" w:sz="8" w:space="0"/>
          <w:bottom w:val="single" w:color="cccccc" w:sz="8" w:space="0"/>
          <w:right w:val="single" w:color="cccccc" w:sz="8" w:space="0"/>
          <w:insideH w:val="single" w:color="cccccc" w:sz="8" w:space="0"/>
          <w:insideV w:val="single" w:color="cccccc" w:sz="8" w:space="0"/>
        </w:tblBorders>
        <w:tblLayout w:type="fixed"/>
        <w:tblLook w:val="01E0" w:firstRow="1" w:lastRow="1" w:firstColumn="1" w:lastColumn="1" w:noHBand="0" w:noVBand="0"/>
      </w:tblPr>
      <w:tblGrid>
        <w:gridCol w:w="2100"/>
        <w:gridCol w:w="3180"/>
        <w:gridCol w:w="4335"/>
        <w:gridCol w:w="1215"/>
        <w:gridCol w:w="1320"/>
        <w:gridCol w:w="1365"/>
        <w:gridCol w:w="1200"/>
      </w:tblGrid>
      <w:tr>
        <w:trPr>
          <w:trHeight w:val="1655"/>
        </w:trPr>
        <w:tc>
          <w:tcPr>
            <w:tcBorders>
              <w:bottom w:val="single" w:color="000000" w:sz="8" w:space="0"/>
              <w:right w:val="single" w:color="000000" w:sz="8" w:space="0"/>
            </w:tcBorders>
            <w:tcW w:w="2100" w:type="dxa"/>
            <w:textDirection w:val="lrTb"/>
            <w:noWrap w:val="false"/>
          </w:tcPr>
          <w:p>
            <w:pPr>
              <w:pStyle w:val="975"/>
              <w:pBdr/>
              <w:spacing/>
              <w:ind w:right="10" w:left="3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Освіта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180" w:type="dxa"/>
            <w:textDirection w:val="lrTb"/>
            <w:noWrap w:val="false"/>
          </w:tcPr>
          <w:p>
            <w:pPr>
              <w:pStyle w:val="975"/>
              <w:pBdr/>
              <w:spacing w:line="270" w:lineRule="atLeast"/>
              <w:ind w:right="64" w:hanging="1" w:left="86"/>
              <w:rPr>
                <w:sz w:val="24"/>
              </w:rPr>
            </w:pPr>
            <w:r>
              <w:rPr>
                <w:sz w:val="24"/>
              </w:rPr>
              <w:t xml:space="preserve">Забезпечення доступу до якісного та безпечного харчування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закладах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освіти шляхом розвитку сучасної інфраструктури їдалень </w:t>
            </w:r>
            <w:r>
              <w:rPr>
                <w:spacing w:val="-2"/>
                <w:sz w:val="24"/>
              </w:rPr>
              <w:t xml:space="preserve">(харчоблоків)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4335" w:type="dxa"/>
            <w:textDirection w:val="lrTb"/>
            <w:noWrap w:val="false"/>
          </w:tcPr>
          <w:p>
            <w:pPr>
              <w:pStyle w:val="975"/>
              <w:pBdr/>
              <w:spacing/>
              <w:ind w:right="521" w:firstLine="17" w:left="548"/>
              <w:jc w:val="left"/>
              <w:rPr>
                <w:sz w:val="24"/>
              </w:rPr>
            </w:pPr>
            <w:r>
              <w:rPr>
                <w:sz w:val="24"/>
              </w:rPr>
              <w:t xml:space="preserve">Частка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модернізованих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їдалень (харчоблоків)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у закладах </w:t>
            </w:r>
            <w:r>
              <w:rPr>
                <w:spacing w:val="-2"/>
                <w:sz w:val="24"/>
              </w:rPr>
              <w:t xml:space="preserve">освіти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215" w:type="dxa"/>
            <w:textDirection w:val="lrTb"/>
            <w:noWrap w:val="false"/>
          </w:tcPr>
          <w:p>
            <w:pPr>
              <w:pStyle w:val="975"/>
              <w:pBdr/>
              <w:spacing/>
              <w:ind w:right="60" w:left="79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10%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320" w:type="dxa"/>
            <w:textDirection w:val="lrTb"/>
            <w:noWrap w:val="false"/>
          </w:tcPr>
          <w:p>
            <w:pPr>
              <w:pStyle w:val="975"/>
              <w:pBdr/>
              <w:spacing/>
              <w:ind/>
              <w:rPr>
                <w:sz w:val="24"/>
              </w:rPr>
            </w:pPr>
            <w:r>
              <w:rPr>
                <w:sz w:val="24"/>
              </w:rPr>
              <w:t xml:space="preserve">30%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8" w:space="0"/>
              <w:bottom w:val="single" w:color="000000" w:sz="6" w:space="0"/>
              <w:right w:val="single" w:color="000000" w:sz="4" w:space="0"/>
            </w:tcBorders>
            <w:tcW w:w="1365" w:type="dxa"/>
            <w:textDirection w:val="lrTb"/>
            <w:noWrap w:val="false"/>
          </w:tcPr>
          <w:p>
            <w:pPr>
              <w:pStyle w:val="975"/>
              <w:pBdr/>
              <w:spacing/>
              <w:ind w:left="14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50%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tcW w:w="1200" w:type="dxa"/>
            <w:textDirection w:val="lrTb"/>
            <w:noWrap w:val="false"/>
          </w:tcPr>
          <w:p>
            <w:pPr>
              <w:pStyle w:val="975"/>
              <w:pBdr/>
              <w:spacing/>
              <w:ind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80%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rPr>
          <w:trHeight w:val="1103"/>
        </w:trPr>
        <w:tc>
          <w:tcPr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W w:w="2100" w:type="dxa"/>
            <w:textDirection w:val="lrTb"/>
            <w:noWrap w:val="false"/>
          </w:tcPr>
          <w:p>
            <w:pPr>
              <w:pStyle w:val="975"/>
              <w:pBdr/>
              <w:spacing/>
              <w:ind w:right="10" w:left="3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Освіта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180" w:type="dxa"/>
            <w:textDirection w:val="lrTb"/>
            <w:noWrap w:val="false"/>
          </w:tcPr>
          <w:p>
            <w:pPr>
              <w:pStyle w:val="975"/>
              <w:pBdr/>
              <w:spacing/>
              <w:ind w:right="13" w:left="34"/>
              <w:rPr>
                <w:sz w:val="24"/>
              </w:rPr>
            </w:pPr>
            <w:r>
              <w:rPr>
                <w:sz w:val="24"/>
              </w:rPr>
              <w:t xml:space="preserve">Енергоефективність та енергонезалежність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будівель закладів та установ освіти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4335" w:type="dxa"/>
            <w:textDirection w:val="lrTb"/>
            <w:noWrap w:val="false"/>
          </w:tcPr>
          <w:p>
            <w:pPr>
              <w:pStyle w:val="975"/>
              <w:pBdr/>
              <w:spacing w:line="270" w:lineRule="atLeast"/>
              <w:ind w:right="137" w:left="159"/>
              <w:rPr>
                <w:sz w:val="24"/>
              </w:rPr>
            </w:pPr>
            <w:r>
              <w:rPr>
                <w:sz w:val="24"/>
              </w:rPr>
              <w:t xml:space="preserve">Рівень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зниження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витрат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опалення та/або електроенергію після впровадження заходів з підвищення </w:t>
            </w:r>
            <w:r>
              <w:rPr>
                <w:spacing w:val="-2"/>
                <w:sz w:val="24"/>
              </w:rPr>
              <w:t xml:space="preserve">енергоефективності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215" w:type="dxa"/>
            <w:textDirection w:val="lrTb"/>
            <w:noWrap w:val="false"/>
          </w:tcPr>
          <w:p>
            <w:pPr>
              <w:pStyle w:val="975"/>
              <w:pBdr/>
              <w:spacing/>
              <w:ind w:right="60" w:left="79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100%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320" w:type="dxa"/>
            <w:textDirection w:val="lrTb"/>
            <w:noWrap w:val="false"/>
          </w:tcPr>
          <w:p>
            <w:pPr>
              <w:pStyle w:val="975"/>
              <w:pBdr/>
              <w:spacing/>
              <w:ind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90%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8" w:space="0"/>
              <w:bottom w:val="single" w:color="000000" w:sz="6" w:space="0"/>
              <w:right w:val="single" w:color="000000" w:sz="4" w:space="0"/>
            </w:tcBorders>
            <w:tcW w:w="1365" w:type="dxa"/>
            <w:textDirection w:val="lrTb"/>
            <w:noWrap w:val="false"/>
          </w:tcPr>
          <w:p>
            <w:pPr>
              <w:pStyle w:val="975"/>
              <w:pBdr/>
              <w:spacing/>
              <w:ind w:left="14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85%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tcW w:w="1200" w:type="dxa"/>
            <w:textDirection w:val="lrTb"/>
            <w:noWrap w:val="false"/>
          </w:tcPr>
          <w:p>
            <w:pPr>
              <w:pStyle w:val="975"/>
              <w:pBdr/>
              <w:spacing/>
              <w:ind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65%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rPr>
          <w:trHeight w:val="870"/>
        </w:trPr>
        <w:tc>
          <w:tcPr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W w:w="2100" w:type="dxa"/>
            <w:vMerge w:val="restart"/>
            <w:textDirection w:val="lrTb"/>
            <w:noWrap w:val="false"/>
          </w:tcPr>
          <w:p>
            <w:pPr>
              <w:pStyle w:val="975"/>
              <w:pBdr/>
              <w:spacing/>
              <w:ind w:right="10" w:left="3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Освіта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180" w:type="dxa"/>
            <w:vMerge w:val="restart"/>
            <w:textDirection w:val="lrTb"/>
            <w:noWrap w:val="false"/>
          </w:tcPr>
          <w:p>
            <w:pPr>
              <w:pStyle w:val="975"/>
              <w:pBdr/>
              <w:spacing/>
              <w:ind w:right="12" w:left="34"/>
              <w:rPr>
                <w:sz w:val="24"/>
              </w:rPr>
            </w:pPr>
            <w:r>
              <w:rPr>
                <w:sz w:val="24"/>
              </w:rPr>
              <w:t xml:space="preserve">Реконструкція,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відновлення, ремонт та нове будівництво інфраструктури закладів </w:t>
            </w:r>
            <w:r>
              <w:rPr>
                <w:spacing w:val="-2"/>
                <w:sz w:val="24"/>
              </w:rPr>
              <w:t xml:space="preserve">освіти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4335" w:type="dxa"/>
            <w:textDirection w:val="lrTb"/>
            <w:noWrap w:val="false"/>
          </w:tcPr>
          <w:p>
            <w:pPr>
              <w:pStyle w:val="975"/>
              <w:pBdr/>
              <w:spacing/>
              <w:ind w:right="158" w:hanging="1" w:left="179"/>
              <w:rPr>
                <w:sz w:val="24"/>
              </w:rPr>
            </w:pPr>
            <w:r>
              <w:rPr>
                <w:sz w:val="24"/>
              </w:rPr>
              <w:t xml:space="preserve">Рівень оновленої інфраструктури закладів освіти шляхом здійснення ремонтів,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реконструкцій,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модернізацій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215" w:type="dxa"/>
            <w:textDirection w:val="lrTb"/>
            <w:noWrap w:val="false"/>
          </w:tcPr>
          <w:p>
            <w:pPr>
              <w:pStyle w:val="975"/>
              <w:pBdr/>
              <w:spacing/>
              <w:ind w:right="60" w:left="79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30%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320" w:type="dxa"/>
            <w:textDirection w:val="lrTb"/>
            <w:noWrap w:val="false"/>
          </w:tcPr>
          <w:p>
            <w:pPr>
              <w:pStyle w:val="975"/>
              <w:pBdr/>
              <w:spacing/>
              <w:ind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40%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8" w:space="0"/>
              <w:bottom w:val="single" w:color="000000" w:sz="6" w:space="0"/>
              <w:right w:val="single" w:color="000000" w:sz="4" w:space="0"/>
            </w:tcBorders>
            <w:tcW w:w="1365" w:type="dxa"/>
            <w:textDirection w:val="lrTb"/>
            <w:noWrap w:val="false"/>
          </w:tcPr>
          <w:p>
            <w:pPr>
              <w:pStyle w:val="975"/>
              <w:pBdr/>
              <w:spacing/>
              <w:ind w:left="14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50%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tcW w:w="1200" w:type="dxa"/>
            <w:textDirection w:val="lrTb"/>
            <w:noWrap w:val="false"/>
          </w:tcPr>
          <w:p>
            <w:pPr>
              <w:pStyle w:val="975"/>
              <w:pBdr/>
              <w:spacing/>
              <w:ind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100%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rPr>
          <w:trHeight w:val="1103"/>
        </w:trPr>
        <w:tc>
          <w:tcPr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W w:w="2100" w:type="dxa"/>
            <w:textDirection w:val="lrTb"/>
            <w:noWrap w:val="false"/>
          </w:tcPr>
          <w:p>
            <w:pPr>
              <w:pStyle w:val="975"/>
              <w:pBdr/>
              <w:spacing/>
              <w:ind w:right="10" w:left="3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Освіта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180" w:type="dxa"/>
            <w:textDirection w:val="lrTb"/>
            <w:noWrap w:val="false"/>
          </w:tcPr>
          <w:p>
            <w:pPr>
              <w:pStyle w:val="975"/>
              <w:pBdr/>
              <w:spacing w:line="270" w:lineRule="atLeast"/>
              <w:ind w:right="12" w:left="34"/>
              <w:rPr>
                <w:sz w:val="24"/>
              </w:rPr>
            </w:pPr>
            <w:r>
              <w:rPr>
                <w:sz w:val="24"/>
              </w:rPr>
              <w:t xml:space="preserve">Створення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умов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для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рівного доступу до освіти шляхом розвитку інфраструктури </w:t>
            </w:r>
            <w:r>
              <w:rPr>
                <w:spacing w:val="-2"/>
                <w:sz w:val="24"/>
              </w:rPr>
              <w:t xml:space="preserve">перевезень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4335" w:type="dxa"/>
            <w:textDirection w:val="lrTb"/>
            <w:noWrap w:val="false"/>
          </w:tcPr>
          <w:p>
            <w:pPr>
              <w:pStyle w:val="975"/>
              <w:pBdr/>
              <w:spacing/>
              <w:ind w:right="423" w:left="446"/>
              <w:rPr>
                <w:sz w:val="24"/>
              </w:rPr>
            </w:pPr>
            <w:r>
              <w:rPr>
                <w:sz w:val="24"/>
              </w:rPr>
              <w:t xml:space="preserve">Частка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забезпечених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підвезенням учнів серед тих, хто його </w:t>
            </w:r>
            <w:r>
              <w:rPr>
                <w:spacing w:val="-2"/>
                <w:sz w:val="24"/>
              </w:rPr>
              <w:t xml:space="preserve">потребує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215" w:type="dxa"/>
            <w:textDirection w:val="lrTb"/>
            <w:noWrap w:val="false"/>
          </w:tcPr>
          <w:p>
            <w:pPr>
              <w:pStyle w:val="975"/>
              <w:pBdr/>
              <w:spacing/>
              <w:ind w:right="60" w:left="79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82%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320" w:type="dxa"/>
            <w:textDirection w:val="lrTb"/>
            <w:noWrap w:val="false"/>
          </w:tcPr>
          <w:p>
            <w:pPr>
              <w:pStyle w:val="975"/>
              <w:pBdr/>
              <w:spacing/>
              <w:ind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90%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8" w:space="0"/>
              <w:bottom w:val="single" w:color="000000" w:sz="6" w:space="0"/>
              <w:right w:val="single" w:color="000000" w:sz="4" w:space="0"/>
            </w:tcBorders>
            <w:tcW w:w="1365" w:type="dxa"/>
            <w:textDirection w:val="lrTb"/>
            <w:noWrap w:val="false"/>
          </w:tcPr>
          <w:p>
            <w:pPr>
              <w:pStyle w:val="975"/>
              <w:pBdr/>
              <w:spacing/>
              <w:ind w:left="14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94%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tcW w:w="1200" w:type="dxa"/>
            <w:textDirection w:val="lrTb"/>
            <w:noWrap w:val="false"/>
          </w:tcPr>
          <w:p>
            <w:pPr>
              <w:pStyle w:val="975"/>
              <w:pBdr/>
              <w:spacing/>
              <w:ind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100%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rPr>
          <w:trHeight w:val="1103"/>
        </w:trPr>
        <w:tc>
          <w:tcPr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W w:w="2100" w:type="dxa"/>
            <w:textDirection w:val="lrTb"/>
            <w:noWrap w:val="false"/>
          </w:tcPr>
          <w:p>
            <w:pPr>
              <w:pStyle w:val="975"/>
              <w:pBdr/>
              <w:spacing/>
              <w:ind w:right="10" w:left="30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Освіта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180" w:type="dxa"/>
            <w:textDirection w:val="lrTb"/>
            <w:noWrap w:val="false"/>
          </w:tcPr>
          <w:p>
            <w:pPr>
              <w:pStyle w:val="975"/>
              <w:pBdr/>
              <w:spacing/>
              <w:ind w:right="247" w:hanging="1" w:left="269"/>
              <w:rPr>
                <w:sz w:val="24"/>
              </w:rPr>
            </w:pPr>
            <w:r>
              <w:rPr>
                <w:sz w:val="24"/>
              </w:rPr>
              <w:t xml:space="preserve">Підвищення рівня протипожежної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безпеки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 xml:space="preserve">закладах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75"/>
              <w:pBdr/>
              <w:spacing w:line="256" w:lineRule="exact"/>
              <w:ind w:right="15" w:left="34"/>
              <w:rPr>
                <w:sz w:val="24"/>
              </w:rPr>
            </w:pPr>
            <w:r>
              <w:rPr>
                <w:sz w:val="24"/>
              </w:rPr>
              <w:t xml:space="preserve">та установах </w:t>
            </w:r>
            <w:r>
              <w:rPr>
                <w:spacing w:val="-2"/>
                <w:sz w:val="24"/>
              </w:rPr>
              <w:t xml:space="preserve">освіти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4335" w:type="dxa"/>
            <w:textDirection w:val="lrTb"/>
            <w:noWrap w:val="false"/>
          </w:tcPr>
          <w:p>
            <w:pPr>
              <w:pStyle w:val="975"/>
              <w:pBdr/>
              <w:spacing/>
              <w:ind w:right="181" w:left="203"/>
              <w:rPr>
                <w:sz w:val="24"/>
              </w:rPr>
            </w:pPr>
            <w:r>
              <w:rPr>
                <w:sz w:val="24"/>
              </w:rPr>
              <w:t xml:space="preserve">Частка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закладів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освіти,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які облаштовані системою протипожежного захисту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215" w:type="dxa"/>
            <w:textDirection w:val="lrTb"/>
            <w:noWrap w:val="false"/>
          </w:tcPr>
          <w:p>
            <w:pPr>
              <w:pStyle w:val="975"/>
              <w:pBdr/>
              <w:spacing/>
              <w:ind w:right="60" w:left="79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20%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320" w:type="dxa"/>
            <w:textDirection w:val="lrTb"/>
            <w:noWrap w:val="false"/>
          </w:tcPr>
          <w:p>
            <w:pPr>
              <w:pStyle w:val="975"/>
              <w:pBdr/>
              <w:spacing/>
              <w:ind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30%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8" w:space="0"/>
              <w:right w:val="single" w:color="000000" w:sz="4" w:space="0"/>
            </w:tcBorders>
            <w:tcW w:w="1365" w:type="dxa"/>
            <w:textDirection w:val="lrTb"/>
            <w:noWrap w:val="false"/>
          </w:tcPr>
          <w:p>
            <w:pPr>
              <w:pStyle w:val="975"/>
              <w:pBdr/>
              <w:spacing/>
              <w:ind w:left="14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50%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4" w:space="0"/>
              <w:right w:val="single" w:color="000000" w:sz="4" w:space="0"/>
            </w:tcBorders>
            <w:tcW w:w="1200" w:type="dxa"/>
            <w:textDirection w:val="lrTb"/>
            <w:noWrap w:val="false"/>
          </w:tcPr>
          <w:p>
            <w:pPr>
              <w:pStyle w:val="975"/>
              <w:pBdr/>
              <w:spacing/>
              <w:ind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70%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rPr>
          <w:trHeight w:val="900"/>
        </w:trPr>
        <w:tc>
          <w:tcPr>
            <w:gridSpan w:val="7"/>
            <w:tcBorders>
              <w:top w:val="single" w:color="000000" w:sz="8" w:space="0"/>
              <w:bottom w:val="single" w:color="000000" w:sz="8" w:space="0"/>
              <w:right w:val="single" w:color="000000" w:sz="8" w:space="0"/>
            </w:tcBorders>
            <w:tcW w:w="14715" w:type="dxa"/>
            <w:textDirection w:val="lrTb"/>
            <w:noWrap w:val="false"/>
          </w:tcPr>
          <w:p w14:paraId="13043D72">
            <w:pPr>
              <w:pStyle w:val="975"/>
              <w:pBdr/>
              <w:spacing/>
              <w:ind w:right="5573" w:left="4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highlight w:val="none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  <w:p w14:paraId="1CE68DE4">
            <w:pPr>
              <w:pStyle w:val="975"/>
              <w:pBdr/>
              <w:spacing/>
              <w:ind w:right="-25" w:firstLine="0" w:left="40"/>
              <w:jc w:val="left"/>
              <w:rPr>
                <w:b/>
                <w:bCs/>
                <w:sz w:val="24"/>
                <w:szCs w:val="24"/>
                <w:highlight w:val="none"/>
              </w:rPr>
            </w:pPr>
            <w:r>
              <w:rPr>
                <w:sz w:val="24"/>
              </w:rPr>
              <w:t xml:space="preserve">Пріоритетна галузь (сектор) для публічного інвестування – </w:t>
            </w:r>
            <w:r>
              <w:rPr>
                <w:b/>
                <w:sz w:val="24"/>
              </w:rPr>
              <w:t xml:space="preserve">Охорона здоров'я </w:t>
            </w:r>
            <w:r>
              <w:rPr>
                <w:b/>
                <w:bCs/>
                <w:sz w:val="24"/>
                <w:szCs w:val="24"/>
                <w:highlight w:val="none"/>
              </w:rPr>
            </w:r>
            <w:r>
              <w:rPr>
                <w:b/>
                <w:bCs/>
                <w:sz w:val="24"/>
                <w:szCs w:val="24"/>
                <w:highlight w:val="none"/>
              </w:rPr>
            </w:r>
          </w:p>
          <w:p w14:paraId="78C272BD">
            <w:pPr>
              <w:pStyle w:val="975"/>
              <w:pBdr/>
              <w:spacing/>
              <w:ind w:right="-25" w:firstLine="0" w:left="40"/>
              <w:jc w:val="left"/>
              <w:rPr/>
            </w:pPr>
            <w:r>
              <w:rPr>
                <w:b/>
                <w:sz w:val="24"/>
              </w:rPr>
            </w:r>
            <w:r>
              <w:rPr>
                <w:sz w:val="24"/>
                <w:szCs w:val="24"/>
              </w:rPr>
              <w:t xml:space="preserve">Структурний підрозділ відповідальний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за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галузь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(сектор)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для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публічного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інвестування</w:t>
            </w:r>
            <w:r>
              <w:rPr>
                <w:sz w:val="24"/>
                <w:szCs w:val="24"/>
              </w:rPr>
              <w:t xml:space="preserve"> –</w:t>
            </w:r>
            <w:r>
              <w:rPr>
                <w:sz w:val="24"/>
                <w:szCs w:val="24"/>
              </w:rPr>
              <w:t xml:space="preserve"> Відділ соціально-економічного розвитку та інвестицій</w:t>
            </w:r>
            <w:r>
              <w:rPr>
                <w:b/>
                <w:sz w:val="24"/>
              </w:rPr>
            </w:r>
            <w:r/>
          </w:p>
          <w:p>
            <w:pPr>
              <w:pStyle w:val="975"/>
              <w:pBdr/>
              <w:spacing/>
              <w:ind w:left="40"/>
              <w:jc w:val="left"/>
              <w:rPr>
                <w:b/>
                <w:bCs/>
                <w:spacing w:val="-4"/>
                <w:sz w:val="24"/>
                <w:szCs w:val="24"/>
                <w:highlight w:val="none"/>
              </w:rPr>
            </w:pPr>
            <w:r>
              <w:rPr>
                <w:sz w:val="24"/>
              </w:rPr>
              <w:t xml:space="preserve">Граничний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сукупний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обсяг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публічних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інвестицій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середньостроковий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період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галузь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(сектор)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   209,6  </w:t>
            </w:r>
            <w:r>
              <w:rPr>
                <w:b/>
                <w:sz w:val="24"/>
              </w:rPr>
              <w:t xml:space="preserve">тис.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 xml:space="preserve">грн.</w:t>
            </w:r>
            <w:r>
              <w:rPr>
                <w:b/>
                <w:bCs/>
                <w:spacing w:val="-4"/>
                <w:sz w:val="24"/>
                <w:szCs w:val="24"/>
                <w:highlight w:val="none"/>
              </w:rPr>
            </w:r>
            <w:r>
              <w:rPr>
                <w:b/>
                <w:bCs/>
                <w:spacing w:val="-4"/>
                <w:sz w:val="24"/>
                <w:szCs w:val="24"/>
                <w:highlight w:val="none"/>
              </w:rPr>
            </w:r>
          </w:p>
          <w:p w14:paraId="50ED7A26">
            <w:pPr>
              <w:pStyle w:val="975"/>
              <w:pBdr/>
              <w:spacing/>
              <w:ind w:left="4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spacing w:val="-4"/>
                <w:sz w:val="24"/>
                <w:highlight w:val="none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</w:tbl>
    <w:p w14:paraId="41ED548A">
      <w:pPr>
        <w:pBdr/>
        <w:spacing/>
        <w:ind/>
        <w:rPr/>
      </w:pPr>
      <w:r/>
      <w:r/>
    </w:p>
    <w:tbl>
      <w:tblPr>
        <w:tblInd w:w="83" w:type="dxa"/>
        <w:tblW w:w="0" w:type="auto"/>
        <w:tblCellMar>
          <w:left w:w="0" w:type="dxa"/>
          <w:top w:w="0" w:type="dxa"/>
          <w:right w:w="0" w:type="dxa"/>
          <w:bottom w:w="0" w:type="dxa"/>
        </w:tblCellMar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Look w:val="01E0" w:firstRow="1" w:lastRow="1" w:firstColumn="1" w:lastColumn="1" w:noHBand="0" w:noVBand="0"/>
      </w:tblPr>
      <w:tblGrid>
        <w:gridCol w:w="2100"/>
        <w:gridCol w:w="3180"/>
        <w:gridCol w:w="4335"/>
        <w:gridCol w:w="1215"/>
        <w:gridCol w:w="1320"/>
        <w:gridCol w:w="1365"/>
        <w:gridCol w:w="1200"/>
      </w:tblGrid>
      <w:tr>
        <w:trPr>
          <w:trHeight w:val="600"/>
        </w:trPr>
        <w:tc>
          <w:tcPr>
            <w:tcBorders/>
            <w:tcW w:w="2100" w:type="dxa"/>
            <w:vMerge w:val="restart"/>
            <w:textDirection w:val="lrTb"/>
            <w:noWrap w:val="false"/>
          </w:tcPr>
          <w:p>
            <w:pPr>
              <w:pStyle w:val="975"/>
              <w:pBdr/>
              <w:spacing/>
              <w:ind w:right="9" w:left="30"/>
              <w:rPr>
                <w:sz w:val="24"/>
              </w:rPr>
            </w:pPr>
            <w:r>
              <w:rPr>
                <w:sz w:val="24"/>
              </w:rPr>
              <w:t xml:space="preserve">Розбудова та </w:t>
            </w:r>
            <w:r>
              <w:rPr>
                <w:spacing w:val="-2"/>
                <w:sz w:val="24"/>
              </w:rPr>
              <w:t xml:space="preserve">модернізація </w:t>
            </w:r>
            <w:r>
              <w:rPr>
                <w:sz w:val="24"/>
              </w:rPr>
              <w:t xml:space="preserve">системи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охорони </w:t>
            </w:r>
            <w:r>
              <w:rPr>
                <w:spacing w:val="-2"/>
                <w:sz w:val="24"/>
              </w:rPr>
              <w:t xml:space="preserve">здоров'я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/>
            <w:tcW w:w="3180" w:type="dxa"/>
            <w:vMerge w:val="restart"/>
            <w:textDirection w:val="lrTb"/>
            <w:noWrap w:val="false"/>
          </w:tcPr>
          <w:p>
            <w:pPr>
              <w:pStyle w:val="975"/>
              <w:pBdr/>
              <w:spacing/>
              <w:ind w:right="183" w:hanging="1" w:left="205"/>
              <w:rPr>
                <w:sz w:val="24"/>
              </w:rPr>
            </w:pPr>
            <w:r>
              <w:rPr>
                <w:sz w:val="24"/>
              </w:rPr>
              <w:t xml:space="preserve">Забезпечення доступу до якісної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медичної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допомоги шляхом розбудови й модернізації об'єктів медичної інфраструктури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/>
            <w:tcW w:w="4335" w:type="dxa"/>
            <w:textDirection w:val="lrTb"/>
            <w:noWrap w:val="false"/>
          </w:tcPr>
          <w:p>
            <w:pPr>
              <w:pStyle w:val="975"/>
              <w:pBdr/>
              <w:spacing/>
              <w:ind w:right="22" w:hanging="796" w:left="1014"/>
              <w:jc w:val="left"/>
              <w:rPr>
                <w:sz w:val="24"/>
              </w:rPr>
            </w:pPr>
            <w:r>
              <w:rPr>
                <w:sz w:val="24"/>
              </w:rPr>
              <w:t xml:space="preserve">Рівень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охоплення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населення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якісними медичними послугами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</w:tcBorders>
            <w:tcW w:w="1215" w:type="dxa"/>
            <w:textDirection w:val="lrTb"/>
            <w:noWrap w:val="false"/>
          </w:tcPr>
          <w:p>
            <w:pPr>
              <w:pStyle w:val="975"/>
              <w:pBdr/>
              <w:spacing/>
              <w:ind w:right="60" w:left="79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70%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/>
            <w:tcW w:w="1320" w:type="dxa"/>
            <w:textDirection w:val="lrTb"/>
            <w:noWrap w:val="false"/>
          </w:tcPr>
          <w:p>
            <w:pPr>
              <w:pStyle w:val="975"/>
              <w:pBdr/>
              <w:spacing/>
              <w:ind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80%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4" w:space="0"/>
              <w:bottom w:val="single" w:color="000000" w:sz="6" w:space="0"/>
              <w:right w:val="single" w:color="000000" w:sz="4" w:space="0"/>
            </w:tcBorders>
            <w:tcW w:w="1365" w:type="dxa"/>
            <w:textDirection w:val="lrTb"/>
            <w:noWrap w:val="false"/>
          </w:tcPr>
          <w:p>
            <w:pPr>
              <w:pStyle w:val="975"/>
              <w:pBdr/>
              <w:spacing/>
              <w:ind w:left="14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85%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tcW w:w="1200" w:type="dxa"/>
            <w:textDirection w:val="lrTb"/>
            <w:noWrap w:val="false"/>
          </w:tcPr>
          <w:p>
            <w:pPr>
              <w:pStyle w:val="975"/>
              <w:pBdr/>
              <w:spacing/>
              <w:ind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90%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rPr>
          <w:trHeight w:val="1379"/>
        </w:trPr>
        <w:tc>
          <w:tcPr>
            <w:tcBorders>
              <w:top w:val="none" w:color="000000" w:sz="4" w:space="0"/>
            </w:tcBorders>
            <w:tcW w:w="2100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3180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/>
            <w:tcW w:w="4335" w:type="dxa"/>
            <w:textDirection w:val="lrTb"/>
            <w:noWrap w:val="false"/>
          </w:tcPr>
          <w:p>
            <w:pPr>
              <w:pStyle w:val="975"/>
              <w:pBdr/>
              <w:spacing w:line="270" w:lineRule="atLeast"/>
              <w:ind w:right="67" w:left="89"/>
              <w:rPr>
                <w:sz w:val="24"/>
              </w:rPr>
            </w:pPr>
            <w:r>
              <w:rPr>
                <w:sz w:val="24"/>
              </w:rPr>
              <w:t xml:space="preserve">Рівень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якості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надання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медичних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послуг, ступінь відповідності медичної допомоги встановленим стандартам ефективності, безпеки, своєчасності та задоволеності пацієнтів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</w:tcBorders>
            <w:tcW w:w="1215" w:type="dxa"/>
            <w:textDirection w:val="lrTb"/>
            <w:noWrap w:val="false"/>
          </w:tcPr>
          <w:p>
            <w:pPr>
              <w:pStyle w:val="975"/>
              <w:pBdr/>
              <w:spacing/>
              <w:ind w:right="60" w:left="79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65%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/>
            <w:tcW w:w="1320" w:type="dxa"/>
            <w:textDirection w:val="lrTb"/>
            <w:noWrap w:val="false"/>
          </w:tcPr>
          <w:p>
            <w:pPr>
              <w:pStyle w:val="975"/>
              <w:pBdr/>
              <w:spacing/>
              <w:ind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70%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4" w:space="0"/>
            </w:tcBorders>
            <w:tcW w:w="1365" w:type="dxa"/>
            <w:textDirection w:val="lrTb"/>
            <w:noWrap w:val="false"/>
          </w:tcPr>
          <w:p>
            <w:pPr>
              <w:pStyle w:val="975"/>
              <w:pBdr/>
              <w:spacing/>
              <w:ind w:left="14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85%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tcW w:w="1200" w:type="dxa"/>
            <w:textDirection w:val="lrTb"/>
            <w:noWrap w:val="false"/>
          </w:tcPr>
          <w:p>
            <w:pPr>
              <w:pStyle w:val="975"/>
              <w:pBdr/>
              <w:spacing/>
              <w:ind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90%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rPr>
          <w:trHeight w:val="634"/>
        </w:trPr>
        <w:tc>
          <w:tcPr>
            <w:tcBorders/>
            <w:tcW w:w="2100" w:type="dxa"/>
            <w:vMerge w:val="restart"/>
            <w:textDirection w:val="lrTb"/>
            <w:noWrap w:val="false"/>
          </w:tcPr>
          <w:p>
            <w:pPr>
              <w:pStyle w:val="975"/>
              <w:pBdr/>
              <w:spacing/>
              <w:ind w:right="79" w:firstLine="169" w:left="104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Спеціалізована </w:t>
            </w:r>
            <w:r>
              <w:rPr>
                <w:sz w:val="24"/>
              </w:rPr>
              <w:t xml:space="preserve">медична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допомога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/>
            <w:tcW w:w="3180" w:type="dxa"/>
            <w:vMerge w:val="restart"/>
            <w:textDirection w:val="lrTb"/>
            <w:noWrap w:val="false"/>
          </w:tcPr>
          <w:p>
            <w:pPr>
              <w:pStyle w:val="975"/>
              <w:pBdr/>
              <w:spacing/>
              <w:ind w:hanging="325" w:left="564"/>
              <w:jc w:val="left"/>
              <w:rPr>
                <w:sz w:val="24"/>
              </w:rPr>
            </w:pPr>
            <w:r>
              <w:rPr>
                <w:sz w:val="24"/>
              </w:rPr>
              <w:t xml:space="preserve">Підтримка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материнства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та дитинства в громаді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/>
            <w:tcW w:w="4335" w:type="dxa"/>
            <w:textDirection w:val="lrTb"/>
            <w:noWrap w:val="false"/>
          </w:tcPr>
          <w:p>
            <w:pPr>
              <w:pStyle w:val="975"/>
              <w:pBdr/>
              <w:spacing/>
              <w:ind w:right="22" w:firstLine="256" w:left="252"/>
              <w:jc w:val="left"/>
              <w:rPr>
                <w:sz w:val="24"/>
              </w:rPr>
            </w:pPr>
            <w:r>
              <w:rPr>
                <w:sz w:val="24"/>
              </w:rPr>
              <w:t xml:space="preserve">Рівень охоплення жінок та дітей соціальною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підтримкою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/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допомогою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</w:tcBorders>
            <w:tcW w:w="1215" w:type="dxa"/>
            <w:textDirection w:val="lrTb"/>
            <w:noWrap w:val="false"/>
          </w:tcPr>
          <w:p>
            <w:pPr>
              <w:pStyle w:val="975"/>
              <w:pBdr/>
              <w:spacing/>
              <w:ind w:right="60" w:left="79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70%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/>
            <w:tcW w:w="1320" w:type="dxa"/>
            <w:textDirection w:val="lrTb"/>
            <w:noWrap w:val="false"/>
          </w:tcPr>
          <w:p>
            <w:pPr>
              <w:pStyle w:val="975"/>
              <w:pBdr/>
              <w:spacing/>
              <w:ind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75%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4" w:space="0"/>
            </w:tcBorders>
            <w:tcW w:w="1365" w:type="dxa"/>
            <w:textDirection w:val="lrTb"/>
            <w:noWrap w:val="false"/>
          </w:tcPr>
          <w:p>
            <w:pPr>
              <w:pStyle w:val="975"/>
              <w:pBdr/>
              <w:spacing/>
              <w:ind w:left="14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80%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tcW w:w="1200" w:type="dxa"/>
            <w:textDirection w:val="lrTb"/>
            <w:noWrap w:val="false"/>
          </w:tcPr>
          <w:p>
            <w:pPr>
              <w:pStyle w:val="975"/>
              <w:pBdr/>
              <w:spacing/>
              <w:ind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85%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rPr>
          <w:trHeight w:val="952"/>
        </w:trPr>
        <w:tc>
          <w:tcPr>
            <w:tcBorders>
              <w:top w:val="none" w:color="000000" w:sz="4" w:space="0"/>
            </w:tcBorders>
            <w:tcW w:w="2100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3180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/>
            <w:tcW w:w="4335" w:type="dxa"/>
            <w:textDirection w:val="lrTb"/>
            <w:noWrap w:val="false"/>
          </w:tcPr>
          <w:p>
            <w:pPr>
              <w:pStyle w:val="975"/>
              <w:pBdr/>
              <w:spacing/>
              <w:ind w:right="433" w:firstLine="8" w:left="456"/>
              <w:jc w:val="left"/>
              <w:rPr>
                <w:sz w:val="24"/>
              </w:rPr>
            </w:pPr>
            <w:r>
              <w:rPr>
                <w:sz w:val="24"/>
              </w:rPr>
              <w:t xml:space="preserve">Рівень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доступності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амбулаторно-поліклінічної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медичної </w:t>
            </w:r>
            <w:r>
              <w:rPr>
                <w:spacing w:val="-2"/>
                <w:sz w:val="24"/>
              </w:rPr>
              <w:t xml:space="preserve">допомоги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</w:tcBorders>
            <w:tcW w:w="1215" w:type="dxa"/>
            <w:textDirection w:val="lrTb"/>
            <w:noWrap w:val="false"/>
          </w:tcPr>
          <w:p>
            <w:pPr>
              <w:pStyle w:val="975"/>
              <w:pBdr/>
              <w:spacing/>
              <w:ind w:right="60" w:left="79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40%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/>
            <w:tcW w:w="1320" w:type="dxa"/>
            <w:textDirection w:val="lrTb"/>
            <w:noWrap w:val="false"/>
          </w:tcPr>
          <w:p>
            <w:pPr>
              <w:pStyle w:val="975"/>
              <w:pBdr/>
              <w:spacing/>
              <w:ind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50%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4" w:space="0"/>
            </w:tcBorders>
            <w:tcW w:w="1365" w:type="dxa"/>
            <w:textDirection w:val="lrTb"/>
            <w:noWrap w:val="false"/>
          </w:tcPr>
          <w:p>
            <w:pPr>
              <w:pStyle w:val="975"/>
              <w:pBdr/>
              <w:spacing/>
              <w:ind w:left="14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75%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tcW w:w="1200" w:type="dxa"/>
            <w:textDirection w:val="lrTb"/>
            <w:noWrap w:val="false"/>
          </w:tcPr>
          <w:p>
            <w:pPr>
              <w:pStyle w:val="975"/>
              <w:pBdr/>
              <w:spacing/>
              <w:ind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90%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rPr>
          <w:trHeight w:val="1005"/>
        </w:trPr>
        <w:tc>
          <w:tcPr>
            <w:tcBorders/>
            <w:tcW w:w="2100" w:type="dxa"/>
            <w:vMerge w:val="restart"/>
            <w:textDirection w:val="lrTb"/>
            <w:noWrap w:val="false"/>
          </w:tcPr>
          <w:p>
            <w:pPr>
              <w:pStyle w:val="975"/>
              <w:pBdr/>
              <w:spacing/>
              <w:ind w:right="281" w:hanging="263" w:left="566"/>
              <w:jc w:val="left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Реабілітаційна допомога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/>
            <w:tcW w:w="3180" w:type="dxa"/>
            <w:vMerge w:val="restart"/>
            <w:textDirection w:val="lrTb"/>
            <w:noWrap w:val="false"/>
          </w:tcPr>
          <w:p>
            <w:pPr>
              <w:pStyle w:val="975"/>
              <w:pBdr/>
              <w:spacing/>
              <w:ind w:right="25" w:left="47"/>
              <w:rPr>
                <w:sz w:val="24"/>
              </w:rPr>
            </w:pPr>
            <w:r>
              <w:rPr>
                <w:sz w:val="24"/>
              </w:rPr>
              <w:t xml:space="preserve">Розбудова мереж стаціонарних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реабілітаційних та паліативних  </w:t>
            </w:r>
            <w:r>
              <w:rPr>
                <w:spacing w:val="-2"/>
                <w:sz w:val="24"/>
              </w:rPr>
              <w:t xml:space="preserve">відділень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/>
            <w:tcW w:w="4335" w:type="dxa"/>
            <w:textDirection w:val="lrTb"/>
            <w:noWrap w:val="false"/>
          </w:tcPr>
          <w:p>
            <w:pPr>
              <w:pStyle w:val="975"/>
              <w:pBdr/>
              <w:spacing/>
              <w:ind w:right="22" w:hanging="1279" w:left="1721"/>
              <w:jc w:val="left"/>
              <w:rPr>
                <w:sz w:val="24"/>
              </w:rPr>
            </w:pPr>
            <w:r>
              <w:rPr>
                <w:sz w:val="24"/>
              </w:rPr>
              <w:t xml:space="preserve">Рівень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реконструкції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лікувальних </w:t>
            </w:r>
            <w:r>
              <w:rPr>
                <w:spacing w:val="-2"/>
                <w:sz w:val="24"/>
              </w:rPr>
              <w:t xml:space="preserve">корпусів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</w:tcBorders>
            <w:tcW w:w="1215" w:type="dxa"/>
            <w:textDirection w:val="lrTb"/>
            <w:noWrap w:val="false"/>
          </w:tcPr>
          <w:p>
            <w:pPr>
              <w:pStyle w:val="975"/>
              <w:pBdr/>
              <w:spacing/>
              <w:ind w:left="79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30%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/>
            <w:tcW w:w="1320" w:type="dxa"/>
            <w:textDirection w:val="lrTb"/>
            <w:noWrap w:val="false"/>
          </w:tcPr>
          <w:p>
            <w:pPr>
              <w:pStyle w:val="975"/>
              <w:pBdr/>
              <w:spacing/>
              <w:ind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40%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4" w:space="0"/>
            </w:tcBorders>
            <w:tcW w:w="1365" w:type="dxa"/>
            <w:textDirection w:val="lrTb"/>
            <w:noWrap w:val="false"/>
          </w:tcPr>
          <w:p>
            <w:pPr>
              <w:pStyle w:val="975"/>
              <w:pBdr/>
              <w:spacing/>
              <w:ind w:left="14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85%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tcW w:w="1200" w:type="dxa"/>
            <w:textDirection w:val="lrTb"/>
            <w:noWrap w:val="false"/>
          </w:tcPr>
          <w:p>
            <w:pPr>
              <w:pStyle w:val="975"/>
              <w:pBdr/>
              <w:spacing/>
              <w:ind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100%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rPr>
          <w:trHeight w:val="1005"/>
        </w:trPr>
        <w:tc>
          <w:tcPr>
            <w:tcBorders>
              <w:top w:val="none" w:color="000000" w:sz="4" w:space="0"/>
            </w:tcBorders>
            <w:tcW w:w="2100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3180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/>
            <w:tcW w:w="4335" w:type="dxa"/>
            <w:textDirection w:val="lrTb"/>
            <w:noWrap w:val="false"/>
          </w:tcPr>
          <w:p>
            <w:pPr>
              <w:pStyle w:val="975"/>
              <w:pBdr/>
              <w:spacing/>
              <w:ind w:right="22" w:hanging="586" w:left="721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Рівень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забезпечення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населення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якісною реабілітаційною або паліативною допомогою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</w:tcBorders>
            <w:tcW w:w="1215" w:type="dxa"/>
            <w:textDirection w:val="lrTb"/>
            <w:noWrap w:val="false"/>
          </w:tcPr>
          <w:p>
            <w:pPr>
              <w:pStyle w:val="975"/>
              <w:pBdr/>
              <w:spacing/>
              <w:ind w:right="60" w:left="79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20%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/>
            <w:tcW w:w="1320" w:type="dxa"/>
            <w:textDirection w:val="lrTb"/>
            <w:noWrap w:val="false"/>
          </w:tcPr>
          <w:p>
            <w:pPr>
              <w:pStyle w:val="975"/>
              <w:pBdr/>
              <w:spacing/>
              <w:ind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30%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4" w:space="0"/>
            </w:tcBorders>
            <w:tcW w:w="1365" w:type="dxa"/>
            <w:textDirection w:val="lrTb"/>
            <w:noWrap w:val="false"/>
          </w:tcPr>
          <w:p>
            <w:pPr>
              <w:pStyle w:val="975"/>
              <w:pBdr/>
              <w:spacing/>
              <w:ind w:left="14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65%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tcW w:w="1200" w:type="dxa"/>
            <w:textDirection w:val="lrTb"/>
            <w:noWrap w:val="false"/>
          </w:tcPr>
          <w:p>
            <w:pPr>
              <w:pStyle w:val="975"/>
              <w:pBdr/>
              <w:spacing/>
              <w:ind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100%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rPr>
          <w:trHeight w:val="1103"/>
        </w:trPr>
        <w:tc>
          <w:tcPr>
            <w:tcBorders/>
            <w:tcW w:w="2100" w:type="dxa"/>
            <w:textDirection w:val="lrTb"/>
            <w:noWrap w:val="false"/>
          </w:tcPr>
          <w:p>
            <w:pPr>
              <w:pStyle w:val="975"/>
              <w:pBdr/>
              <w:spacing w:line="270" w:lineRule="atLeast"/>
              <w:ind w:right="9" w:left="30"/>
              <w:rPr>
                <w:sz w:val="24"/>
              </w:rPr>
            </w:pPr>
            <w:r>
              <w:rPr>
                <w:sz w:val="24"/>
              </w:rPr>
              <w:t xml:space="preserve">Розбудова та </w:t>
            </w:r>
            <w:r>
              <w:rPr>
                <w:spacing w:val="-2"/>
                <w:sz w:val="24"/>
              </w:rPr>
              <w:t xml:space="preserve">модернізація </w:t>
            </w:r>
            <w:r>
              <w:rPr>
                <w:sz w:val="24"/>
              </w:rPr>
              <w:t xml:space="preserve">системи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охорони </w:t>
            </w:r>
            <w:r>
              <w:rPr>
                <w:spacing w:val="-2"/>
                <w:sz w:val="24"/>
              </w:rPr>
              <w:t xml:space="preserve">здоров'я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/>
            <w:tcW w:w="3180" w:type="dxa"/>
            <w:textDirection w:val="lrTb"/>
            <w:noWrap w:val="false"/>
          </w:tcPr>
          <w:p>
            <w:pPr>
              <w:pStyle w:val="975"/>
              <w:pBdr/>
              <w:spacing w:line="270" w:lineRule="atLeast"/>
              <w:ind w:right="146" w:hanging="1" w:left="168"/>
              <w:rPr>
                <w:sz w:val="24"/>
              </w:rPr>
            </w:pPr>
            <w:r>
              <w:rPr>
                <w:sz w:val="24"/>
              </w:rPr>
              <w:t xml:space="preserve">Забезпечення медичних закладів сучасним обладнанням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медичними </w:t>
            </w:r>
            <w:r>
              <w:rPr>
                <w:spacing w:val="-2"/>
                <w:sz w:val="24"/>
              </w:rPr>
              <w:t xml:space="preserve">виробами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/>
            <w:tcW w:w="4335" w:type="dxa"/>
            <w:textDirection w:val="lrTb"/>
            <w:noWrap w:val="false"/>
          </w:tcPr>
          <w:p>
            <w:pPr>
              <w:pStyle w:val="975"/>
              <w:pBdr/>
              <w:spacing/>
              <w:ind w:right="137" w:left="159"/>
              <w:rPr>
                <w:sz w:val="24"/>
              </w:rPr>
            </w:pPr>
            <w:r>
              <w:rPr>
                <w:sz w:val="24"/>
              </w:rPr>
              <w:t xml:space="preserve">Підвищення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рівня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оснащення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закладів охорони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здоров’я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сучасним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медичним обладнанням та технологіями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</w:tcBorders>
            <w:tcW w:w="1215" w:type="dxa"/>
            <w:textDirection w:val="lrTb"/>
            <w:noWrap w:val="false"/>
          </w:tcPr>
          <w:p>
            <w:pPr>
              <w:pStyle w:val="975"/>
              <w:pBdr/>
              <w:spacing/>
              <w:ind w:right="60" w:left="79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65%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/>
            <w:tcW w:w="1320" w:type="dxa"/>
            <w:textDirection w:val="lrTb"/>
            <w:noWrap w:val="false"/>
          </w:tcPr>
          <w:p>
            <w:pPr>
              <w:pStyle w:val="975"/>
              <w:pBdr/>
              <w:spacing/>
              <w:ind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70%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4" w:space="0"/>
            </w:tcBorders>
            <w:tcW w:w="1365" w:type="dxa"/>
            <w:textDirection w:val="lrTb"/>
            <w:noWrap w:val="false"/>
          </w:tcPr>
          <w:p>
            <w:pPr>
              <w:pStyle w:val="975"/>
              <w:pBdr/>
              <w:spacing/>
              <w:ind w:left="14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75%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tcW w:w="1200" w:type="dxa"/>
            <w:textDirection w:val="lrTb"/>
            <w:noWrap w:val="false"/>
          </w:tcPr>
          <w:p>
            <w:pPr>
              <w:pStyle w:val="975"/>
              <w:pBdr/>
              <w:spacing/>
              <w:ind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85%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</w:tbl>
    <w:tbl>
      <w:tblPr>
        <w:tblInd w:w="83" w:type="dxa"/>
        <w:tblW w:w="0" w:type="auto"/>
        <w:tblCellMar>
          <w:left w:w="0" w:type="dxa"/>
          <w:top w:w="0" w:type="dxa"/>
          <w:right w:w="0" w:type="dxa"/>
          <w:bottom w:w="0" w:type="dxa"/>
        </w:tblCellMar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Look w:val="01E0" w:firstRow="1" w:lastRow="1" w:firstColumn="1" w:lastColumn="1" w:noHBand="0" w:noVBand="0"/>
      </w:tblPr>
      <w:tblGrid>
        <w:gridCol w:w="2100"/>
        <w:gridCol w:w="3180"/>
        <w:gridCol w:w="4335"/>
        <w:gridCol w:w="1215"/>
        <w:gridCol w:w="1320"/>
        <w:gridCol w:w="1365"/>
        <w:gridCol w:w="1200"/>
      </w:tblGrid>
      <w:tr>
        <w:trPr>
          <w:trHeight w:val="952"/>
        </w:trPr>
        <w:tc>
          <w:tcPr>
            <w:tcBorders/>
            <w:tcW w:w="2100" w:type="dxa"/>
            <w:textDirection w:val="lrTb"/>
            <w:noWrap w:val="false"/>
          </w:tcPr>
          <w:p>
            <w:pPr>
              <w:pStyle w:val="975"/>
              <w:pBdr/>
              <w:spacing/>
              <w:ind w:right="65" w:left="87"/>
              <w:rPr>
                <w:sz w:val="24"/>
              </w:rPr>
            </w:pPr>
            <w:r>
              <w:rPr>
                <w:sz w:val="24"/>
              </w:rPr>
              <w:t xml:space="preserve">Психічне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здоров'я та психіатрична </w:t>
            </w:r>
            <w:r>
              <w:rPr>
                <w:spacing w:val="-2"/>
                <w:sz w:val="24"/>
              </w:rPr>
              <w:t xml:space="preserve">допомога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/>
            <w:tcW w:w="3180" w:type="dxa"/>
            <w:textDirection w:val="lrTb"/>
            <w:noWrap w:val="false"/>
          </w:tcPr>
          <w:p>
            <w:pPr>
              <w:pStyle w:val="975"/>
              <w:pBdr/>
              <w:spacing/>
              <w:ind w:right="12" w:left="35"/>
              <w:rPr>
                <w:sz w:val="24"/>
              </w:rPr>
            </w:pPr>
            <w:r>
              <w:rPr>
                <w:sz w:val="24"/>
              </w:rPr>
              <w:t xml:space="preserve">Розвиток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центрів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психічного здоров'я та психосоціальної </w:t>
            </w:r>
            <w:r>
              <w:rPr>
                <w:spacing w:val="-2"/>
                <w:sz w:val="24"/>
              </w:rPr>
              <w:t xml:space="preserve">допомоги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/>
            <w:tcW w:w="4335" w:type="dxa"/>
            <w:textDirection w:val="lrTb"/>
            <w:noWrap w:val="false"/>
          </w:tcPr>
          <w:p>
            <w:pPr>
              <w:pStyle w:val="975"/>
              <w:pBdr/>
              <w:spacing/>
              <w:ind w:right="22" w:hanging="1084" w:left="1146"/>
              <w:jc w:val="left"/>
              <w:rPr>
                <w:sz w:val="24"/>
              </w:rPr>
            </w:pPr>
            <w:r>
              <w:rPr>
                <w:sz w:val="24"/>
              </w:rPr>
              <w:t xml:space="preserve">Рівень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забезпечення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населення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центрами психічного здоров'я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</w:tcBorders>
            <w:tcW w:w="1215" w:type="dxa"/>
            <w:textDirection w:val="lrTb"/>
            <w:noWrap w:val="false"/>
          </w:tcPr>
          <w:p>
            <w:pPr>
              <w:pStyle w:val="975"/>
              <w:pBdr/>
              <w:spacing/>
              <w:ind w:right="60" w:left="79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/>
            <w:tcW w:w="1320" w:type="dxa"/>
            <w:textDirection w:val="lrTb"/>
            <w:noWrap w:val="false"/>
          </w:tcPr>
          <w:p>
            <w:pPr>
              <w:pStyle w:val="975"/>
              <w:pBdr/>
              <w:spacing/>
              <w:ind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10%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  <w:right w:val="single" w:color="000000" w:sz="4" w:space="0"/>
            </w:tcBorders>
            <w:tcW w:w="1365" w:type="dxa"/>
            <w:textDirection w:val="lrTb"/>
            <w:noWrap w:val="false"/>
          </w:tcPr>
          <w:p>
            <w:pPr>
              <w:pStyle w:val="975"/>
              <w:pBdr/>
              <w:spacing/>
              <w:ind w:left="14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30%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tcW w:w="1200" w:type="dxa"/>
            <w:textDirection w:val="lrTb"/>
            <w:noWrap w:val="false"/>
          </w:tcPr>
          <w:p>
            <w:pPr>
              <w:pStyle w:val="975"/>
              <w:pBdr/>
              <w:spacing/>
              <w:ind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50%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rPr>
          <w:trHeight w:val="915"/>
        </w:trPr>
        <w:tc>
          <w:tcPr>
            <w:gridSpan w:val="7"/>
            <w:tcBorders/>
            <w:tcW w:w="14715" w:type="dxa"/>
            <w:textDirection w:val="lrTb"/>
            <w:noWrap w:val="false"/>
          </w:tcPr>
          <w:p w14:paraId="715659F8">
            <w:pPr>
              <w:pStyle w:val="975"/>
              <w:pBdr/>
              <w:spacing/>
              <w:ind w:left="4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  <w:p>
            <w:pPr>
              <w:pStyle w:val="975"/>
              <w:pBdr/>
              <w:spacing/>
              <w:ind w:left="40"/>
              <w:jc w:val="left"/>
              <w:rPr>
                <w:b/>
                <w:bCs/>
                <w:spacing w:val="-2"/>
                <w:sz w:val="24"/>
                <w:szCs w:val="24"/>
                <w:highlight w:val="none"/>
              </w:rPr>
            </w:pPr>
            <w:r>
              <w:rPr>
                <w:sz w:val="24"/>
              </w:rPr>
              <w:t xml:space="preserve">Пріоритетна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галузь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(сектор)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публічного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інвестування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Соціальна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сфера</w:t>
            </w:r>
            <w:r>
              <w:rPr>
                <w:b/>
                <w:bCs/>
                <w:spacing w:val="-2"/>
                <w:sz w:val="24"/>
                <w:szCs w:val="24"/>
                <w:highlight w:val="none"/>
              </w:rPr>
            </w:r>
            <w:r>
              <w:rPr>
                <w:b/>
                <w:bCs/>
                <w:spacing w:val="-2"/>
                <w:sz w:val="24"/>
                <w:szCs w:val="24"/>
                <w:highlight w:val="none"/>
              </w:rPr>
            </w:r>
          </w:p>
          <w:p w14:paraId="03DD54E5">
            <w:pPr>
              <w:pStyle w:val="975"/>
              <w:pBdr/>
              <w:spacing/>
              <w:ind w:right="-25" w:firstLine="0" w:left="40"/>
              <w:jc w:val="left"/>
              <w:rPr/>
            </w:pPr>
            <w:r>
              <w:rPr>
                <w:b/>
                <w:sz w:val="24"/>
              </w:rPr>
            </w:r>
            <w:r>
              <w:rPr>
                <w:sz w:val="24"/>
                <w:szCs w:val="24"/>
              </w:rPr>
              <w:t xml:space="preserve">Структурний підрозділ відповідальний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за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галузь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(сектор)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для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публічного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інвестування</w:t>
            </w:r>
            <w:r>
              <w:rPr>
                <w:sz w:val="24"/>
                <w:szCs w:val="24"/>
              </w:rPr>
              <w:t xml:space="preserve"> –</w:t>
            </w:r>
            <w:r>
              <w:rPr>
                <w:sz w:val="24"/>
                <w:szCs w:val="24"/>
              </w:rPr>
              <w:t xml:space="preserve"> Відділ соціального захисту населення, Служба у справах дітей</w:t>
            </w:r>
            <w:r>
              <w:rPr>
                <w:b/>
                <w:sz w:val="24"/>
              </w:rPr>
            </w:r>
            <w:r/>
          </w:p>
          <w:p>
            <w:pPr>
              <w:pStyle w:val="975"/>
              <w:pBdr/>
              <w:spacing/>
              <w:ind w:left="40"/>
              <w:jc w:val="left"/>
              <w:rPr>
                <w:b/>
                <w:bCs/>
                <w:spacing w:val="-4"/>
                <w:sz w:val="24"/>
                <w:szCs w:val="24"/>
                <w:highlight w:val="none"/>
              </w:rPr>
            </w:pPr>
            <w:r>
              <w:rPr>
                <w:sz w:val="24"/>
              </w:rPr>
              <w:t xml:space="preserve">Граничний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сукупний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обсяг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публічних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інвестицій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середньостроковий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період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галузь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(сектор)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  306,6  </w:t>
            </w:r>
            <w:r>
              <w:rPr>
                <w:b/>
                <w:sz w:val="24"/>
              </w:rPr>
              <w:t xml:space="preserve">тис.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 xml:space="preserve">грн.</w:t>
            </w:r>
            <w:r>
              <w:rPr>
                <w:b/>
                <w:bCs/>
                <w:spacing w:val="-4"/>
                <w:sz w:val="24"/>
                <w:szCs w:val="24"/>
                <w:highlight w:val="none"/>
              </w:rPr>
            </w:r>
            <w:r>
              <w:rPr>
                <w:b/>
                <w:bCs/>
                <w:spacing w:val="-4"/>
                <w:sz w:val="24"/>
                <w:szCs w:val="24"/>
                <w:highlight w:val="none"/>
              </w:rPr>
            </w:r>
          </w:p>
          <w:p w14:paraId="46DE7370">
            <w:pPr>
              <w:pStyle w:val="975"/>
              <w:pBdr/>
              <w:spacing/>
              <w:ind w:left="4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spacing w:val="-4"/>
                <w:sz w:val="24"/>
                <w:highlight w:val="none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>
          <w:trHeight w:val="1655"/>
        </w:trPr>
        <w:tc>
          <w:tcPr>
            <w:tcBorders/>
            <w:tcW w:w="2100" w:type="dxa"/>
            <w:vMerge w:val="restart"/>
            <w:textDirection w:val="lrTb"/>
            <w:noWrap w:val="false"/>
          </w:tcPr>
          <w:p>
            <w:pPr>
              <w:pStyle w:val="975"/>
              <w:pBdr/>
              <w:spacing/>
              <w:ind w:right="8" w:left="30"/>
              <w:rPr>
                <w:sz w:val="24"/>
              </w:rPr>
            </w:pPr>
            <w:r>
              <w:rPr>
                <w:sz w:val="24"/>
              </w:rPr>
              <w:t xml:space="preserve">Підтримка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сімей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з дітьми та захист прав дітей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/>
            <w:tcW w:w="3180" w:type="dxa"/>
            <w:vMerge w:val="restart"/>
            <w:textDirection w:val="lrTb"/>
            <w:noWrap w:val="false"/>
          </w:tcPr>
          <w:p>
            <w:pPr>
              <w:pStyle w:val="975"/>
              <w:pBdr/>
              <w:spacing/>
              <w:ind w:right="192" w:hanging="1" w:left="214"/>
              <w:rPr>
                <w:sz w:val="24"/>
              </w:rPr>
            </w:pPr>
            <w:r>
              <w:rPr>
                <w:sz w:val="24"/>
              </w:rPr>
              <w:t xml:space="preserve">Розвиток житлової інфраструктури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соціальної підтримки та інтеграції вразливих груп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/>
            <w:tcW w:w="4335" w:type="dxa"/>
            <w:textDirection w:val="lrTb"/>
            <w:noWrap w:val="false"/>
          </w:tcPr>
          <w:p w14:paraId="756DCBB5">
            <w:pPr>
              <w:pStyle w:val="975"/>
              <w:pBdr/>
              <w:spacing/>
              <w:ind w:right="22" w:hanging="759" w:left="851"/>
              <w:jc w:val="left"/>
              <w:rPr>
                <w:sz w:val="24"/>
              </w:rPr>
            </w:pPr>
            <w:r>
              <w:rPr>
                <w:sz w:val="24"/>
              </w:rPr>
              <w:t xml:space="preserve">Рівень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забезпечення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соціальним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житлом осіб, які його потребують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bottom w:val="single" w:color="000000" w:sz="6" w:space="0"/>
            </w:tcBorders>
            <w:tcW w:w="1215" w:type="dxa"/>
            <w:textDirection w:val="lrTb"/>
            <w:noWrap w:val="false"/>
          </w:tcPr>
          <w:p w14:paraId="6964EDA8">
            <w:pPr>
              <w:pStyle w:val="975"/>
              <w:pBdr/>
              <w:spacing/>
              <w:ind w:right="60" w:left="79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5%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/>
            <w:tcW w:w="1320" w:type="dxa"/>
            <w:textDirection w:val="lrTb"/>
            <w:noWrap w:val="false"/>
          </w:tcPr>
          <w:p w14:paraId="180239AB">
            <w:pPr>
              <w:pStyle w:val="975"/>
              <w:pBdr/>
              <w:spacing/>
              <w:ind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20%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bottom w:val="single" w:color="000000" w:sz="6" w:space="0"/>
              <w:right w:val="single" w:color="000000" w:sz="4" w:space="0"/>
            </w:tcBorders>
            <w:tcW w:w="1365" w:type="dxa"/>
            <w:textDirection w:val="lrTb"/>
            <w:noWrap w:val="false"/>
          </w:tcPr>
          <w:p w14:paraId="6B909EC7">
            <w:pPr>
              <w:pStyle w:val="975"/>
              <w:pBdr/>
              <w:spacing/>
              <w:ind w:left="15"/>
              <w:rPr>
                <w:sz w:val="24"/>
              </w:rPr>
            </w:pPr>
            <w:r>
              <w:rPr>
                <w:sz w:val="24"/>
              </w:rPr>
              <w:t xml:space="preserve">30%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left w:val="single" w:color="000000" w:sz="4" w:space="0"/>
              <w:bottom w:val="single" w:color="000000" w:sz="6" w:space="0"/>
              <w:right w:val="single" w:color="000000" w:sz="4" w:space="0"/>
            </w:tcBorders>
            <w:tcW w:w="1200" w:type="dxa"/>
            <w:textDirection w:val="lrTb"/>
            <w:noWrap w:val="false"/>
          </w:tcPr>
          <w:p w14:paraId="40FD5A55">
            <w:pPr>
              <w:pStyle w:val="975"/>
              <w:pBdr/>
              <w:spacing/>
              <w:ind w:left="20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</w:tbl>
    <w:p>
      <w:pPr>
        <w:pStyle w:val="973"/>
        <w:pBdr/>
        <w:spacing w:before="5"/>
        <w:ind w:left="0"/>
        <w:jc w:val="left"/>
        <w:rPr>
          <w:sz w:val="2"/>
        </w:rPr>
      </w:pPr>
      <w:r>
        <w:rPr>
          <w:sz w:val="2"/>
        </w:rPr>
      </w:r>
      <w:r>
        <w:rPr>
          <w:sz w:val="2"/>
        </w:rPr>
      </w:r>
      <w:r>
        <w:rPr>
          <w:sz w:val="2"/>
        </w:rPr>
      </w:r>
    </w:p>
    <w:tbl>
      <w:tblPr>
        <w:tblInd w:w="83" w:type="dxa"/>
        <w:tblW w:w="0" w:type="auto"/>
        <w:tblCellMar>
          <w:left w:w="0" w:type="dxa"/>
          <w:top w:w="0" w:type="dxa"/>
          <w:right w:w="0" w:type="dxa"/>
          <w:bottom w:w="0" w:type="dxa"/>
        </w:tblCellMar>
        <w:tblBorders>
          <w:top w:val="single" w:color="cccccc" w:sz="8" w:space="0"/>
          <w:left w:val="single" w:color="cccccc" w:sz="8" w:space="0"/>
          <w:bottom w:val="single" w:color="cccccc" w:sz="8" w:space="0"/>
          <w:right w:val="single" w:color="cccccc" w:sz="8" w:space="0"/>
          <w:insideH w:val="single" w:color="cccccc" w:sz="8" w:space="0"/>
          <w:insideV w:val="single" w:color="cccccc" w:sz="8" w:space="0"/>
        </w:tblBorders>
        <w:tblLayout w:type="fixed"/>
        <w:tblLook w:val="01E0" w:firstRow="1" w:lastRow="1" w:firstColumn="1" w:lastColumn="1" w:noHBand="0" w:noVBand="0"/>
      </w:tblPr>
      <w:tblGrid>
        <w:gridCol w:w="2100"/>
        <w:gridCol w:w="3180"/>
        <w:gridCol w:w="4335"/>
        <w:gridCol w:w="1215"/>
        <w:gridCol w:w="1320"/>
        <w:gridCol w:w="1365"/>
        <w:gridCol w:w="1200"/>
      </w:tblGrid>
      <w:tr>
        <w:trPr>
          <w:trHeight w:val="1126"/>
        </w:trPr>
        <w:tc>
          <w:tcPr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100" w:type="dxa"/>
            <w:vMerge w:val="restart"/>
            <w:textDirection w:val="lrTb"/>
            <w:noWrap w:val="false"/>
          </w:tcPr>
          <w:p>
            <w:pPr>
              <w:pStyle w:val="975"/>
              <w:pBdr/>
              <w:spacing w:before="2"/>
              <w:ind w:left="569"/>
              <w:jc w:val="left"/>
              <w:rPr>
                <w:sz w:val="24"/>
                <w:highlight w:val="white"/>
              </w:rPr>
            </w:pPr>
            <w:r>
              <w:rPr>
                <w:spacing w:val="-2"/>
                <w:sz w:val="24"/>
                <w:highlight w:val="white"/>
              </w:rPr>
              <w:t xml:space="preserve">Ветерани</w:t>
            </w:r>
            <w:r>
              <w:rPr>
                <w:sz w:val="24"/>
                <w:highlight w:val="white"/>
              </w:rPr>
            </w:r>
            <w:r>
              <w:rPr>
                <w:sz w:val="24"/>
                <w:highlight w:val="white"/>
              </w:rPr>
            </w:r>
          </w:p>
        </w:tc>
        <w:tc>
          <w:tcPr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180" w:type="dxa"/>
            <w:vMerge w:val="restart"/>
            <w:textDirection w:val="lrTb"/>
            <w:noWrap w:val="false"/>
          </w:tcPr>
          <w:p>
            <w:pPr>
              <w:pStyle w:val="975"/>
              <w:pBdr/>
              <w:spacing w:before="2"/>
              <w:ind w:right="396" w:left="419"/>
              <w:rPr>
                <w:sz w:val="24"/>
                <w:highlight w:val="white"/>
              </w:rPr>
            </w:pPr>
            <w:r>
              <w:rPr>
                <w:sz w:val="24"/>
                <w:highlight w:val="white"/>
              </w:rPr>
              <w:t xml:space="preserve">Створення</w:t>
            </w:r>
            <w:r>
              <w:rPr>
                <w:spacing w:val="-15"/>
                <w:sz w:val="24"/>
                <w:highlight w:val="white"/>
              </w:rPr>
              <w:t xml:space="preserve"> </w:t>
            </w:r>
            <w:r>
              <w:rPr>
                <w:sz w:val="24"/>
                <w:highlight w:val="white"/>
              </w:rPr>
              <w:t xml:space="preserve">та</w:t>
            </w:r>
            <w:r>
              <w:rPr>
                <w:spacing w:val="-15"/>
                <w:sz w:val="24"/>
                <w:highlight w:val="white"/>
              </w:rPr>
              <w:t xml:space="preserve"> </w:t>
            </w:r>
            <w:r>
              <w:rPr>
                <w:sz w:val="24"/>
                <w:highlight w:val="white"/>
              </w:rPr>
              <w:t xml:space="preserve">розвиток обʼєктів меморіальної </w:t>
            </w:r>
            <w:r>
              <w:rPr>
                <w:spacing w:val="-2"/>
                <w:sz w:val="24"/>
                <w:highlight w:val="white"/>
              </w:rPr>
              <w:t xml:space="preserve">інфраструктури</w:t>
            </w:r>
            <w:r>
              <w:rPr>
                <w:sz w:val="24"/>
                <w:highlight w:val="white"/>
              </w:rPr>
            </w:r>
            <w:r>
              <w:rPr>
                <w:sz w:val="24"/>
                <w:highlight w:val="whit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4335" w:type="dxa"/>
            <w:textDirection w:val="lrTb"/>
            <w:noWrap w:val="false"/>
          </w:tcPr>
          <w:p w14:paraId="3FD6E75A">
            <w:pPr>
              <w:pStyle w:val="975"/>
              <w:pBdr/>
              <w:spacing w:before="2"/>
              <w:ind w:right="396" w:left="419"/>
              <w:rPr>
                <w:sz w:val="24"/>
                <w:highlight w:val="white"/>
              </w:rPr>
            </w:pPr>
            <w:r>
              <w:rPr>
                <w:sz w:val="24"/>
                <w:highlight w:val="white"/>
              </w:rPr>
              <w:t xml:space="preserve">Частка</w:t>
            </w:r>
            <w:r>
              <w:rPr>
                <w:spacing w:val="-9"/>
                <w:sz w:val="24"/>
                <w:highlight w:val="white"/>
              </w:rPr>
              <w:t xml:space="preserve"> </w:t>
            </w:r>
            <w:r>
              <w:rPr>
                <w:sz w:val="24"/>
                <w:highlight w:val="white"/>
              </w:rPr>
              <w:t xml:space="preserve">створення</w:t>
            </w:r>
            <w:r>
              <w:rPr>
                <w:spacing w:val="-15"/>
                <w:sz w:val="24"/>
                <w:highlight w:val="white"/>
              </w:rPr>
              <w:t xml:space="preserve"> </w:t>
            </w:r>
            <w:r>
              <w:rPr>
                <w:sz w:val="24"/>
                <w:highlight w:val="white"/>
              </w:rPr>
              <w:t xml:space="preserve">  обʼєктів меморіальної </w:t>
            </w:r>
            <w:r>
              <w:rPr>
                <w:spacing w:val="-2"/>
                <w:sz w:val="24"/>
                <w:highlight w:val="white"/>
              </w:rPr>
              <w:t xml:space="preserve">інфраструктури</w:t>
            </w:r>
            <w:r>
              <w:rPr>
                <w:sz w:val="24"/>
                <w:highlight w:val="white"/>
              </w:rPr>
            </w:r>
            <w:r>
              <w:rPr>
                <w:sz w:val="24"/>
                <w:highlight w:val="white"/>
              </w:rPr>
            </w:r>
          </w:p>
          <w:p w14:paraId="1855AF26">
            <w:pPr>
              <w:pStyle w:val="975"/>
              <w:pBdr/>
              <w:spacing w:line="270" w:lineRule="atLeast"/>
              <w:ind w:right="137" w:left="159"/>
              <w:rPr>
                <w:sz w:val="24"/>
                <w:szCs w:val="24"/>
                <w:highlight w:val="white"/>
              </w:rPr>
            </w:pPr>
            <w:r>
              <w:rPr>
                <w:spacing w:val="-9"/>
                <w:sz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tcW w:w="1215" w:type="dxa"/>
            <w:textDirection w:val="lrTb"/>
            <w:noWrap w:val="false"/>
          </w:tcPr>
          <w:p w14:paraId="269152B2">
            <w:pPr>
              <w:pStyle w:val="975"/>
              <w:pBdr/>
              <w:spacing/>
              <w:ind w:right="60" w:left="79"/>
              <w:rPr>
                <w:sz w:val="24"/>
                <w:highlight w:val="white"/>
              </w:rPr>
            </w:pPr>
            <w:r>
              <w:rPr>
                <w:spacing w:val="-2"/>
                <w:sz w:val="24"/>
                <w:highlight w:val="none"/>
              </w:rPr>
              <w:t xml:space="preserve">10</w:t>
            </w:r>
            <w:r>
              <w:rPr>
                <w:spacing w:val="-2"/>
                <w:sz w:val="24"/>
                <w:highlight w:val="white"/>
              </w:rPr>
              <w:t xml:space="preserve">%</w:t>
            </w:r>
            <w:r>
              <w:rPr>
                <w:sz w:val="24"/>
                <w:highlight w:val="white"/>
              </w:rPr>
            </w:r>
            <w:r>
              <w:rPr>
                <w:sz w:val="24"/>
                <w:highlight w:val="white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320" w:type="dxa"/>
            <w:textDirection w:val="lrTb"/>
            <w:noWrap w:val="false"/>
          </w:tcPr>
          <w:p w14:paraId="37C87823">
            <w:pPr>
              <w:pStyle w:val="975"/>
              <w:pBdr/>
              <w:spacing/>
              <w:ind/>
              <w:rPr>
                <w:sz w:val="24"/>
                <w:highlight w:val="white"/>
              </w:rPr>
            </w:pPr>
            <w:r>
              <w:rPr>
                <w:spacing w:val="-2"/>
                <w:sz w:val="24"/>
                <w:highlight w:val="none"/>
              </w:rPr>
              <w:t xml:space="preserve">75</w:t>
            </w:r>
            <w:r>
              <w:rPr>
                <w:spacing w:val="-2"/>
                <w:sz w:val="24"/>
                <w:highlight w:val="white"/>
              </w:rPr>
              <w:t xml:space="preserve">%</w:t>
            </w:r>
            <w:r>
              <w:rPr>
                <w:sz w:val="24"/>
                <w:highlight w:val="white"/>
              </w:rPr>
            </w:r>
            <w:r>
              <w:rPr>
                <w:sz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8" w:space="0"/>
              <w:bottom w:val="single" w:color="000000" w:sz="6" w:space="0"/>
              <w:right w:val="single" w:color="000000" w:sz="4" w:space="0"/>
            </w:tcBorders>
            <w:tcW w:w="1365" w:type="dxa"/>
            <w:textDirection w:val="lrTb"/>
            <w:noWrap w:val="false"/>
          </w:tcPr>
          <w:p w14:paraId="23594706">
            <w:pPr>
              <w:pStyle w:val="975"/>
              <w:pBdr/>
              <w:spacing/>
              <w:ind w:left="14"/>
              <w:rPr>
                <w:sz w:val="24"/>
                <w:highlight w:val="white"/>
              </w:rPr>
            </w:pPr>
            <w:r>
              <w:rPr>
                <w:spacing w:val="-2"/>
                <w:sz w:val="24"/>
                <w:highlight w:val="none"/>
              </w:rPr>
              <w:t xml:space="preserve">100</w:t>
            </w:r>
            <w:r>
              <w:rPr>
                <w:spacing w:val="-2"/>
                <w:sz w:val="24"/>
                <w:highlight w:val="white"/>
              </w:rPr>
              <w:t xml:space="preserve">%</w:t>
            </w:r>
            <w:r>
              <w:rPr>
                <w:sz w:val="24"/>
                <w:highlight w:val="white"/>
              </w:rPr>
            </w:r>
            <w:r>
              <w:rPr>
                <w:sz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tcW w:w="1200" w:type="dxa"/>
            <w:textDirection w:val="lrTb"/>
            <w:noWrap w:val="false"/>
          </w:tcPr>
          <w:p>
            <w:pPr>
              <w:pStyle w:val="975"/>
              <w:pBdr/>
              <w:spacing/>
              <w:ind w:left="0"/>
              <w:jc w:val="center"/>
              <w:rPr>
                <w:sz w:val="24"/>
                <w:highlight w:val="yellow"/>
              </w:rPr>
            </w:pPr>
            <w:r>
              <w:rPr>
                <w:sz w:val="24"/>
                <w:highlight w:val="none"/>
              </w:rPr>
              <w:t xml:space="preserve">-</w:t>
            </w:r>
            <w:r>
              <w:rPr>
                <w:sz w:val="24"/>
                <w:highlight w:val="yellow"/>
              </w:rPr>
            </w:r>
            <w:r>
              <w:rPr>
                <w:sz w:val="24"/>
                <w:highlight w:val="yellow"/>
              </w:rPr>
            </w:r>
          </w:p>
        </w:tc>
      </w:tr>
      <w:tr>
        <w:trPr>
          <w:trHeight w:val="652"/>
        </w:trPr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100" w:type="dxa"/>
            <w:vMerge w:val="restart"/>
            <w:textDirection w:val="lrTb"/>
            <w:noWrap w:val="false"/>
          </w:tcPr>
          <w:p>
            <w:pPr>
              <w:pStyle w:val="975"/>
              <w:pBdr/>
              <w:spacing/>
              <w:ind w:right="237" w:hanging="1" w:left="259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Інклюзія осіб з інвалідністю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та </w:t>
            </w:r>
            <w:r>
              <w:rPr>
                <w:spacing w:val="-2"/>
                <w:sz w:val="24"/>
              </w:rPr>
              <w:t xml:space="preserve">система реабілітації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180" w:type="dxa"/>
            <w:vMerge w:val="restart"/>
            <w:textDirection w:val="lrTb"/>
            <w:noWrap w:val="false"/>
          </w:tcPr>
          <w:p>
            <w:pPr>
              <w:pStyle w:val="975"/>
              <w:pBdr/>
              <w:spacing/>
              <w:ind w:right="12" w:left="35"/>
              <w:rPr>
                <w:sz w:val="24"/>
              </w:rPr>
            </w:pPr>
            <w:r>
              <w:rPr>
                <w:sz w:val="24"/>
              </w:rPr>
              <w:t xml:space="preserve">Розвиток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реабілітаційної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та </w:t>
            </w:r>
            <w:r>
              <w:rPr>
                <w:spacing w:val="-2"/>
                <w:sz w:val="24"/>
              </w:rPr>
              <w:t xml:space="preserve">підтримувальної інфраструктури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4335" w:type="dxa"/>
            <w:textDirection w:val="lrTb"/>
            <w:noWrap w:val="false"/>
          </w:tcPr>
          <w:p>
            <w:pPr>
              <w:pStyle w:val="975"/>
              <w:pBdr/>
              <w:spacing/>
              <w:ind w:right="22" w:firstLine="23" w:left="93"/>
              <w:jc w:val="left"/>
              <w:rPr>
                <w:sz w:val="24"/>
              </w:rPr>
            </w:pPr>
            <w:r>
              <w:rPr>
                <w:sz w:val="24"/>
              </w:rPr>
              <w:t xml:space="preserve">Частка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осіб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інвалідністю,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які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пройшли реабілітацію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числа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тих,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хто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її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потребує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tcW w:w="1215" w:type="dxa"/>
            <w:textDirection w:val="lrTb"/>
            <w:noWrap w:val="false"/>
          </w:tcPr>
          <w:p>
            <w:pPr>
              <w:pStyle w:val="975"/>
              <w:pBdr/>
              <w:spacing/>
              <w:ind w:right="60" w:left="79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10%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320" w:type="dxa"/>
            <w:textDirection w:val="lrTb"/>
            <w:noWrap w:val="false"/>
          </w:tcPr>
          <w:p>
            <w:pPr>
              <w:pStyle w:val="975"/>
              <w:pBdr/>
              <w:spacing/>
              <w:ind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15%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8" w:space="0"/>
              <w:bottom w:val="single" w:color="000000" w:sz="6" w:space="0"/>
              <w:right w:val="single" w:color="000000" w:sz="4" w:space="0"/>
            </w:tcBorders>
            <w:tcW w:w="1365" w:type="dxa"/>
            <w:textDirection w:val="lrTb"/>
            <w:noWrap w:val="false"/>
          </w:tcPr>
          <w:p>
            <w:pPr>
              <w:pStyle w:val="975"/>
              <w:pBdr/>
              <w:spacing/>
              <w:ind w:left="1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30%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tcW w:w="1200" w:type="dxa"/>
            <w:textDirection w:val="lrTb"/>
            <w:noWrap w:val="false"/>
          </w:tcPr>
          <w:p>
            <w:pPr>
              <w:pStyle w:val="975"/>
              <w:pBdr/>
              <w:spacing/>
              <w:ind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50%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rPr>
          <w:trHeight w:val="1103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100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180" w:type="dxa"/>
            <w:vMerge w:val="continue"/>
            <w:textDirection w:val="lrTb"/>
            <w:noWrap w:val="false"/>
          </w:tcPr>
          <w:p>
            <w:pPr>
              <w:pBdr/>
              <w:spacing/>
              <w:ind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4335" w:type="dxa"/>
            <w:textDirection w:val="lrTb"/>
            <w:noWrap w:val="false"/>
          </w:tcPr>
          <w:p>
            <w:pPr>
              <w:pStyle w:val="975"/>
              <w:pBdr/>
              <w:spacing w:line="270" w:lineRule="atLeast"/>
              <w:ind w:right="35" w:hanging="2" w:left="57"/>
              <w:rPr>
                <w:sz w:val="24"/>
              </w:rPr>
            </w:pPr>
            <w:r>
              <w:rPr>
                <w:sz w:val="24"/>
              </w:rPr>
              <w:t xml:space="preserve">Рівень забезпечення додатковими місцями для надання реабілітаційних послуг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 xml:space="preserve">військовослужбовцям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особам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з </w:t>
            </w:r>
            <w:r>
              <w:rPr>
                <w:spacing w:val="-2"/>
                <w:sz w:val="24"/>
              </w:rPr>
              <w:t xml:space="preserve">інвалідністю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tcW w:w="1215" w:type="dxa"/>
            <w:textDirection w:val="lrTb"/>
            <w:noWrap w:val="false"/>
          </w:tcPr>
          <w:p>
            <w:pPr>
              <w:pStyle w:val="975"/>
              <w:pBdr/>
              <w:spacing/>
              <w:ind w:right="60" w:left="79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50%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320" w:type="dxa"/>
            <w:textDirection w:val="lrTb"/>
            <w:noWrap w:val="false"/>
          </w:tcPr>
          <w:p>
            <w:pPr>
              <w:pStyle w:val="975"/>
              <w:pBdr/>
              <w:spacing/>
              <w:ind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100%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8" w:space="0"/>
              <w:bottom w:val="single" w:color="000000" w:sz="6" w:space="0"/>
              <w:right w:val="single" w:color="000000" w:sz="4" w:space="0"/>
            </w:tcBorders>
            <w:tcW w:w="1365" w:type="dxa"/>
            <w:textDirection w:val="lrTb"/>
            <w:noWrap w:val="false"/>
          </w:tcPr>
          <w:p>
            <w:pPr>
              <w:pStyle w:val="975"/>
              <w:pBdr/>
              <w:spacing/>
              <w:ind w:left="15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tcW w:w="1200" w:type="dxa"/>
            <w:textDirection w:val="lrTb"/>
            <w:noWrap w:val="false"/>
          </w:tcPr>
          <w:p>
            <w:pPr>
              <w:pStyle w:val="975"/>
              <w:pBdr/>
              <w:spacing/>
              <w:ind w:left="20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rPr>
          <w:trHeight w:val="1103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100" w:type="dxa"/>
            <w:vMerge w:val="restart"/>
            <w:textDirection w:val="lrTb"/>
            <w:noWrap w:val="false"/>
          </w:tcPr>
          <w:p w14:paraId="7E5920DF"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Соціальні послуги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180" w:type="dxa"/>
            <w:vMerge w:val="restart"/>
            <w:textDirection w:val="lrTb"/>
            <w:noWrap w:val="false"/>
          </w:tcPr>
          <w:p w14:paraId="7DDBE89A">
            <w:pPr>
              <w:pBdr/>
              <w:spacing/>
              <w: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t xml:space="preserve">Забезпечення безбар'єрності, мобільності та доступності соціальних послуг у громадах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4335" w:type="dxa"/>
            <w:vMerge w:val="restart"/>
            <w:textDirection w:val="lrTb"/>
            <w:noWrap w:val="false"/>
          </w:tcPr>
          <w:p w14:paraId="39CDFD74">
            <w:pPr>
              <w:pStyle w:val="975"/>
              <w:pBdr/>
              <w:spacing w:line="270" w:lineRule="atLeast"/>
              <w:ind w:right="35" w:hanging="2" w:left="57"/>
              <w:rPr>
                <w:sz w:val="24"/>
                <w:szCs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  <w:t xml:space="preserve">Рівень забезпечення</w:t>
            </w:r>
            <w:r>
              <w:rPr>
                <w:sz w:val="24"/>
              </w:rPr>
              <w:t xml:space="preserve"> доступними соціальними послугами в громаді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tcW w:w="1215" w:type="dxa"/>
            <w:vMerge w:val="restart"/>
            <w:textDirection w:val="lrTb"/>
            <w:noWrap w:val="false"/>
          </w:tcPr>
          <w:p w14:paraId="5E56B493">
            <w:pPr>
              <w:pStyle w:val="975"/>
              <w:pBdr/>
              <w:spacing/>
              <w:ind w:right="60" w:left="79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40%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320" w:type="dxa"/>
            <w:vMerge w:val="restart"/>
            <w:textDirection w:val="lrTb"/>
            <w:noWrap w:val="false"/>
          </w:tcPr>
          <w:p w14:paraId="1A8C0FB7">
            <w:pPr>
              <w:pStyle w:val="975"/>
              <w:pBdr/>
              <w:spacing/>
              <w:ind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50%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8" w:space="0"/>
              <w:bottom w:val="single" w:color="000000" w:sz="6" w:space="0"/>
              <w:right w:val="single" w:color="000000" w:sz="4" w:space="0"/>
            </w:tcBorders>
            <w:tcW w:w="1365" w:type="dxa"/>
            <w:vMerge w:val="restart"/>
            <w:textDirection w:val="lrTb"/>
            <w:noWrap w:val="false"/>
          </w:tcPr>
          <w:p w14:paraId="16E145B5">
            <w:pPr>
              <w:pStyle w:val="975"/>
              <w:pBdr/>
              <w:spacing/>
              <w:ind w:left="14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75%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tcW w:w="1200" w:type="dxa"/>
            <w:vMerge w:val="restart"/>
            <w:textDirection w:val="lrTb"/>
            <w:noWrap w:val="false"/>
          </w:tcPr>
          <w:p w14:paraId="1BC0E2A7">
            <w:pPr>
              <w:pStyle w:val="975"/>
              <w:pBdr/>
              <w:spacing/>
              <w:ind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90%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rPr>
          <w:trHeight w:val="1103"/>
        </w:trPr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2100" w:type="dxa"/>
            <w:vMerge w:val="restart"/>
            <w:textDirection w:val="lrTb"/>
            <w:noWrap w:val="false"/>
          </w:tcPr>
          <w:p w14:paraId="03276D0F">
            <w:pPr>
              <w:pBdr/>
              <w:spacing/>
              <w:ind/>
              <w:jc w:val="center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t xml:space="preserve">Запобігання та протидія домашньому насильству</w:t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3180" w:type="dxa"/>
            <w:vMerge w:val="restart"/>
            <w:textDirection w:val="lrTb"/>
            <w:noWrap w:val="false"/>
          </w:tcPr>
          <w:p w14:paraId="65F8A9FC">
            <w:pPr>
              <w:pBdr/>
              <w:spacing/>
              <w:ind/>
              <w:jc w:val="center"/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t xml:space="preserve">Розвиток мережі спеціалізованих служб підтримки осіб, які постраждали від домашнього насильства та/або насильства за ознакою статі</w:t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4335" w:type="dxa"/>
            <w:vMerge w:val="restart"/>
            <w:textDirection w:val="lrTb"/>
            <w:noWrap w:val="false"/>
          </w:tcPr>
          <w:p w14:paraId="5399DF6C">
            <w:p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pacing w:after="180" w:before="0"/>
              <w:ind w:right="0" w:firstLine="0" w:left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u w:val="none"/>
              </w:rPr>
              <w:t xml:space="preserve">Частка постраждалих осіб, які зможуть щорічно отримувати допомогу у новому/розширеному центрі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 w14:paraId="6D92CB16">
            <w:pPr>
              <w:pStyle w:val="975"/>
              <w:pBdr/>
              <w:spacing w:line="270" w:lineRule="atLeast"/>
              <w:ind w:right="35" w:hanging="2" w:left="57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tcW w:w="1215" w:type="dxa"/>
            <w:vMerge w:val="restart"/>
            <w:textDirection w:val="lrTb"/>
            <w:noWrap w:val="false"/>
          </w:tcPr>
          <w:p w14:paraId="665646DC">
            <w:pPr>
              <w:pStyle w:val="975"/>
              <w:pBdr/>
              <w:spacing/>
              <w:ind w:right="60" w:left="79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 xml:space="preserve">0%</w:t>
            </w:r>
            <w:r>
              <w:rPr>
                <w:spacing w:val="-5"/>
                <w:sz w:val="24"/>
              </w:rPr>
            </w:r>
            <w:r>
              <w:rPr>
                <w:spacing w:val="-5"/>
                <w:sz w:val="24"/>
              </w:rPr>
            </w:r>
          </w:p>
        </w:tc>
        <w:tc>
          <w:tcPr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W w:w="1320" w:type="dxa"/>
            <w:vMerge w:val="restart"/>
            <w:textDirection w:val="lrTb"/>
            <w:noWrap w:val="false"/>
          </w:tcPr>
          <w:p w14:paraId="1D3D902D">
            <w:pPr>
              <w:pStyle w:val="975"/>
              <w:pBdr/>
              <w:spacing/>
              <w:ind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 xml:space="preserve">50%</w:t>
            </w:r>
            <w:r>
              <w:rPr>
                <w:spacing w:val="-4"/>
                <w:sz w:val="24"/>
              </w:rPr>
            </w:r>
            <w:r>
              <w:rPr>
                <w:spacing w:val="-4"/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8" w:space="0"/>
              <w:bottom w:val="single" w:color="000000" w:sz="6" w:space="0"/>
              <w:right w:val="single" w:color="000000" w:sz="4" w:space="0"/>
            </w:tcBorders>
            <w:tcW w:w="1365" w:type="dxa"/>
            <w:vMerge w:val="restart"/>
            <w:textDirection w:val="lrTb"/>
            <w:noWrap w:val="false"/>
          </w:tcPr>
          <w:p w14:paraId="3C1A718E">
            <w:pPr>
              <w:pStyle w:val="975"/>
              <w:pBdr/>
              <w:spacing/>
              <w:ind w:left="15"/>
              <w:rPr>
                <w:sz w:val="24"/>
              </w:rPr>
            </w:pPr>
            <w:r>
              <w:rPr>
                <w:sz w:val="24"/>
              </w:rPr>
              <w:t xml:space="preserve">100%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tcW w:w="1200" w:type="dxa"/>
            <w:vMerge w:val="restart"/>
            <w:textDirection w:val="lrTb"/>
            <w:noWrap w:val="false"/>
          </w:tcPr>
          <w:p w14:paraId="3F342E55">
            <w:pPr>
              <w:pStyle w:val="975"/>
              <w:pBdr/>
              <w:spacing/>
              <w:ind w:left="20"/>
              <w:rPr>
                <w:sz w:val="24"/>
              </w:rPr>
            </w:pPr>
            <w:r>
              <w:rPr>
                <w:sz w:val="24"/>
              </w:rPr>
              <w:t xml:space="preserve">-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</w:tbl>
    <w:p w14:paraId="58D485CF">
      <w:pPr>
        <w:pBdr/>
        <w:spacing/>
        <w:ind/>
        <w:rPr/>
      </w:pPr>
      <w:r/>
      <w:r/>
    </w:p>
    <w:sectPr>
      <w:footnotePr/>
      <w:endnotePr/>
      <w:type w:val="nextPage"/>
      <w:pgSz w:h="11910" w:orient="landscape" w:w="16840"/>
      <w:pgMar w:top="1260" w:right="708" w:bottom="1200" w:left="1275" w:header="0" w:footer="986" w:gutter="0"/>
      <w:cols w:num="1" w:sep="0" w:space="1701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3"/>
      <w:pBdr/>
      <w:spacing w:line="14" w:lineRule="auto"/>
      <w:ind w:left="0"/>
      <w:jc w:val="left"/>
      <w:rPr>
        <w:sz w:val="20"/>
      </w:rPr>
    </w:pP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5832192" behindDoc="1" locked="0" layoutInCell="1" allowOverlap="1">
              <wp:simplePos x="0" y="0"/>
              <wp:positionH relativeFrom="page">
                <wp:posOffset>6908482</wp:posOffset>
              </wp:positionH>
              <wp:positionV relativeFrom="page">
                <wp:posOffset>9916388</wp:posOffset>
              </wp:positionV>
              <wp:extent cx="160020" cy="165100"/>
              <wp:effectExtent l="0" t="0" r="0" b="0"/>
              <wp:wrapNone/>
              <wp:docPr id="1" name="Text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160020" cy="165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Bdr/>
                            <w:spacing w:before="0" w:line="244" w:lineRule="exact"/>
                            <w:ind w:right="0" w:firstLine="0" w:left="60"/>
                            <w:jc w:val="left"/>
                            <w:rPr>
                              <w:rFonts w:ascii="Calibri"/>
                              <w:sz w:val="22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  <w:sz w:val="22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  <w:sz w:val="22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10"/>
                              <w:sz w:val="22"/>
                            </w:rPr>
                            <w:t xml:space="preserve">1</w:t>
                          </w:r>
                          <w:r>
                            <w:rPr>
                              <w:rFonts w:ascii="Calibri"/>
                              <w:spacing w:val="-10"/>
                              <w:sz w:val="22"/>
                            </w:rPr>
                            <w:fldChar w:fldCharType="end"/>
                          </w:r>
                          <w:r>
                            <w:rPr>
                              <w:rFonts w:ascii="Calibri"/>
                              <w:sz w:val="22"/>
                            </w:rPr>
                          </w:r>
                          <w:r>
                            <w:rPr>
                              <w:rFonts w:ascii="Calibri"/>
                              <w:sz w:val="22"/>
                            </w:rPr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0" o:spid="_x0000_s0" o:spt="202" type="#_x0000_t202" style="position:absolute;z-index:-485832192;o:allowoverlap:true;o:allowincell:true;mso-position-horizontal-relative:page;margin-left:543.97pt;mso-position-horizontal:absolute;mso-position-vertical-relative:page;margin-top:780.82pt;mso-position-vertical:absolute;width:12.60pt;height:13.00pt;mso-wrap-distance-left:0.00pt;mso-wrap-distance-top:0.00pt;mso-wrap-distance-right:0.00pt;mso-wrap-distance-bottom:0.00pt;visibility:visible;" filled="f">
              <v:textbox inset="0,0,0,0">
                <w:txbxContent>
                  <w:p>
                    <w:pPr>
                      <w:pBdr/>
                      <w:spacing w:before="0" w:line="244" w:lineRule="exact"/>
                      <w:ind w:right="0" w:firstLine="0" w:left="60"/>
                      <w:jc w:val="left"/>
                      <w:rPr>
                        <w:rFonts w:ascii="Calibri"/>
                        <w:sz w:val="22"/>
                      </w:rPr>
                    </w:pPr>
                    <w:r>
                      <w:rPr>
                        <w:rFonts w:ascii="Calibri"/>
                        <w:spacing w:val="-10"/>
                        <w:sz w:val="22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  <w:sz w:val="22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  <w:sz w:val="22"/>
                      </w:rPr>
                      <w:fldChar w:fldCharType="separate"/>
                    </w:r>
                    <w:r>
                      <w:rPr>
                        <w:rFonts w:ascii="Calibri"/>
                        <w:spacing w:val="-10"/>
                        <w:sz w:val="22"/>
                      </w:rPr>
                      <w:t xml:space="preserve">1</w:t>
                    </w:r>
                    <w:r>
                      <w:rPr>
                        <w:rFonts w:ascii="Calibri"/>
                        <w:spacing w:val="-10"/>
                        <w:sz w:val="22"/>
                      </w:rPr>
                      <w:fldChar w:fldCharType="end"/>
                    </w:r>
                    <w:r>
                      <w:rPr>
                        <w:rFonts w:ascii="Calibri"/>
                        <w:sz w:val="22"/>
                      </w:rPr>
                    </w:r>
                    <w:r>
                      <w:rPr>
                        <w:rFonts w:ascii="Calibri"/>
                        <w:sz w:val="22"/>
                      </w:rPr>
                    </w:r>
                  </w:p>
                </w:txbxContent>
              </v:textbox>
            </v:shape>
          </w:pict>
        </mc:Fallback>
      </mc:AlternateContent>
    </w:r>
    <w:r>
      <w:rPr>
        <w:sz w:val="20"/>
      </w:rPr>
    </w:r>
    <w:r>
      <w:rPr>
        <w:sz w:val="20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3"/>
      <w:pBdr/>
      <w:spacing w:line="14" w:lineRule="auto"/>
      <w:ind w:left="0"/>
      <w:jc w:val="left"/>
      <w:rPr>
        <w:sz w:val="20"/>
      </w:rPr>
    </w:pPr>
    <w:r>
      <w:rPr>
        <w:sz w:val="20"/>
      </w:rP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0" distR="0" simplePos="0" relativeHeight="485832704" behindDoc="1" locked="0" layoutInCell="1" allowOverlap="1">
              <wp:simplePos x="0" y="0"/>
              <wp:positionH relativeFrom="page">
                <wp:posOffset>9997440</wp:posOffset>
              </wp:positionH>
              <wp:positionV relativeFrom="page">
                <wp:posOffset>6784568</wp:posOffset>
              </wp:positionV>
              <wp:extent cx="205740" cy="165100"/>
              <wp:effectExtent l="0" t="0" r="0" b="0"/>
              <wp:wrapNone/>
              <wp:docPr id="2" name="Text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205740" cy="165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Bdr/>
                            <w:spacing w:before="0" w:line="244" w:lineRule="exact"/>
                            <w:ind w:right="0" w:firstLine="0" w:left="20"/>
                            <w:jc w:val="left"/>
                            <w:rPr>
                              <w:rFonts w:ascii="Calibri"/>
                              <w:sz w:val="22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  <w:sz w:val="22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  <w:sz w:val="22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  <w:sz w:val="22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5"/>
                              <w:sz w:val="22"/>
                            </w:rPr>
                            <w:t xml:space="preserve">17</w:t>
                          </w:r>
                          <w:r>
                            <w:rPr>
                              <w:rFonts w:ascii="Calibri"/>
                              <w:spacing w:val="-5"/>
                              <w:sz w:val="22"/>
                            </w:rPr>
                            <w:fldChar w:fldCharType="end"/>
                          </w:r>
                          <w:r>
                            <w:rPr>
                              <w:rFonts w:ascii="Calibri"/>
                              <w:sz w:val="22"/>
                            </w:rPr>
                          </w:r>
                          <w:r>
                            <w:rPr>
                              <w:rFonts w:ascii="Calibri"/>
                              <w:sz w:val="22"/>
                            </w:rPr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1" o:spid="_x0000_s1" o:spt="202" type="#_x0000_t202" style="position:absolute;z-index:-485832704;o:allowoverlap:true;o:allowincell:true;mso-position-horizontal-relative:page;margin-left:787.20pt;mso-position-horizontal:absolute;mso-position-vertical-relative:page;margin-top:534.22pt;mso-position-vertical:absolute;width:16.20pt;height:13.00pt;mso-wrap-distance-left:0.00pt;mso-wrap-distance-top:0.00pt;mso-wrap-distance-right:0.00pt;mso-wrap-distance-bottom:0.00pt;visibility:visible;" filled="f">
              <v:textbox inset="0,0,0,0">
                <w:txbxContent>
                  <w:p>
                    <w:pPr>
                      <w:pBdr/>
                      <w:spacing w:before="0" w:line="244" w:lineRule="exact"/>
                      <w:ind w:right="0" w:firstLine="0" w:left="20"/>
                      <w:jc w:val="left"/>
                      <w:rPr>
                        <w:rFonts w:ascii="Calibri"/>
                        <w:sz w:val="22"/>
                      </w:rPr>
                    </w:pPr>
                    <w:r>
                      <w:rPr>
                        <w:rFonts w:ascii="Calibri"/>
                        <w:spacing w:val="-5"/>
                        <w:sz w:val="22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  <w:sz w:val="22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  <w:sz w:val="22"/>
                      </w:rPr>
                      <w:fldChar w:fldCharType="separate"/>
                    </w:r>
                    <w:r>
                      <w:rPr>
                        <w:rFonts w:ascii="Calibri"/>
                        <w:spacing w:val="-5"/>
                        <w:sz w:val="22"/>
                      </w:rPr>
                      <w:t xml:space="preserve">17</w:t>
                    </w:r>
                    <w:r>
                      <w:rPr>
                        <w:rFonts w:ascii="Calibri"/>
                        <w:spacing w:val="-5"/>
                        <w:sz w:val="22"/>
                      </w:rPr>
                      <w:fldChar w:fldCharType="end"/>
                    </w:r>
                    <w:r>
                      <w:rPr>
                        <w:rFonts w:ascii="Calibri"/>
                        <w:sz w:val="22"/>
                      </w:rPr>
                    </w:r>
                    <w:r>
                      <w:rPr>
                        <w:rFonts w:ascii="Calibri"/>
                        <w:sz w:val="22"/>
                      </w:rPr>
                    </w:r>
                  </w:p>
                </w:txbxContent>
              </v:textbox>
            </v:shape>
          </w:pict>
        </mc:Fallback>
      </mc:AlternateContent>
    </w:r>
    <w:r>
      <w:rPr>
        <w:sz w:val="20"/>
      </w:rPr>
    </w:r>
    <w:r>
      <w:rPr>
        <w:sz w:val="20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D29209C"/>
    <w:lvl w:ilvl="0">
      <w:isLgl w:val="false"/>
      <w:lvlJc w:val="left"/>
      <w:lvlText w:val="·"/>
      <w:numFmt w:val="bullet"/>
      <w:pPr>
        <w:pBdr/>
        <w:spacing/>
        <w:ind w:hanging="360" w:left="70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29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49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589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09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49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69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1">
    <w:nsid w:val="12C32917"/>
    <w:lvl w:ilvl="0">
      <w:isLgl w:val="false"/>
      <w:lvlJc w:val="left"/>
      <w:lvlText w:val="·"/>
      <w:numFmt w:val="bullet"/>
      <w:pPr>
        <w:pBdr/>
        <w:spacing/>
        <w:ind w:hanging="360" w:left="70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29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49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589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09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49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69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2">
    <w:nsid w:val="7E1B6639"/>
    <w:lvl w:ilvl="0">
      <w:isLgl w:val="false"/>
      <w:lvlJc w:val="left"/>
      <w:lvlText w:val="·"/>
      <w:numFmt w:val="bullet"/>
      <w:pPr>
        <w:pBdr/>
        <w:spacing/>
        <w:ind w:hanging="360" w:left="709"/>
      </w:pPr>
      <w:rPr>
        <w:rFonts w:hint="default" w:ascii="Symbol" w:hAnsi="Symbol" w:eastAsia="Symbol" w:cs="Symbol"/>
        <w:color w:val="000000"/>
        <w:sz w:val="24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29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49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69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589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09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29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49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69"/>
      </w:pPr>
      <w:rPr>
        <w:rFonts w:hint="default" w:ascii="Wingdings" w:hAnsi="Wingdings" w:eastAsia="Wingdings" w:cs="Wingdings"/>
      </w:rPr>
      <w:start w:val="1"/>
      <w:suff w:val="tab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lTrailSpace w:val="true"/>
    <w:useFELayout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false"/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83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Table Grid"/>
    <w:basedOn w:val="78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Table Grid Light"/>
    <w:basedOn w:val="78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Plain Table 1"/>
    <w:basedOn w:val="78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Plain Table 2"/>
    <w:basedOn w:val="78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Plain Table 3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Plain Table 4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Plain Table 5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1 Light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1 Light - Accent 1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1 Light - Accent 2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1 Light - Accent 3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1 Light - Accent 4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1 Light - Accent 5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1 Light - Accent 6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2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2 - Accent 1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2 - Accent 2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2 - Accent 3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Grid Table 2 - Accent 4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2 - Accent 5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Grid Table 2 - Accent 6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Grid Table 3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Grid Table 3 - Accent 1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Grid Table 3 - Accent 2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Grid Table 3 - Accent 3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Grid Table 3 - Accent 4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Grid Table 3 - Accent 5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Grid Table 3 - Accent 6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Grid Table 4"/>
    <w:basedOn w:val="78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Grid Table 4 - Accent 1"/>
    <w:basedOn w:val="78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Grid Table 4 - Accent 2"/>
    <w:basedOn w:val="78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Grid Table 4 - Accent 3"/>
    <w:basedOn w:val="78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Grid Table 4 - Accent 4"/>
    <w:basedOn w:val="78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Grid Table 4 - Accent 5"/>
    <w:basedOn w:val="78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Grid Table 4 - Accent 6"/>
    <w:basedOn w:val="78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Grid Table 5 Dark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Grid Table 5 Dark- Accent 1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Grid Table 5 Dark - Accent 2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Grid Table 5 Dark - Accent 3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Grid Table 5 Dark- Accent 4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Grid Table 5 Dark - Accent 5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Grid Table 5 Dark - Accent 6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Grid Table 6 Colorful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Grid Table 6 Colorful - Accent 1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Grid Table 6 Colorful - Accent 2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Grid Table 6 Colorful - Accent 3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Grid Table 6 Colorful - Accent 4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Grid Table 6 Colorful - Accent 5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Grid Table 6 Colorful - Accent 6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Grid Table 7 Colorful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Grid Table 7 Colorful - Accent 1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Grid Table 7 Colorful - Accent 2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Grid Table 7 Colorful - Accent 3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Grid Table 7 Colorful - Accent 4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Grid Table 7 Colorful - Accent 5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Grid Table 7 Colorful - Accent 6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1 Light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1 Light - Accent 1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1 Light - Accent 2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1 Light - Accent 3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1 Light - Accent 4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1 Light - Accent 5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1 Light - Accent 6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2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2 - Accent 1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2 - Accent 2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2 - Accent 3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st Table 2 - Accent 4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2 - Accent 5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st Table 2 - Accent 6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st Table 3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st Table 3 - Accent 1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st Table 3 - Accent 2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st Table 3 - Accent 3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List Table 3 - Accent 4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st Table 3 - Accent 5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List Table 3 - Accent 6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List Table 4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List Table 4 - Accent 1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List Table 4 - Accent 2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List Table 4 - Accent 3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List Table 4 - Accent 4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List Table 4 - Accent 5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List Table 4 - Accent 6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List Table 5 Dark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List Table 5 Dark - Accent 1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List Table 5 Dark - Accent 2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List Table 5 Dark - Accent 3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List Table 5 Dark - Accent 4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List Table 5 Dark - Accent 5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List Table 5 Dark - Accent 6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List Table 6 Colorful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List Table 6 Colorful - Accent 1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List Table 6 Colorful - Accent 2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List Table 6 Colorful - Accent 3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List Table 6 Colorful - Accent 4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List Table 6 Colorful - Accent 5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List Table 6 Colorful - Accent 6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List Table 7 Colorful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List Table 7 Colorful - Accent 1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List Table 7 Colorful - Accent 2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List Table 7 Colorful - Accent 3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List Table 7 Colorful - Accent 4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List Table 7 Colorful - Accent 5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List Table 7 Colorful - Accent 6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Lined - Accent"/>
    <w:basedOn w:val="7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Lined - Accent 1"/>
    <w:basedOn w:val="7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Lined - Accent 2"/>
    <w:basedOn w:val="7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>
    <w:name w:val="Lined - Accent 3"/>
    <w:basedOn w:val="7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>
    <w:name w:val="Lined - Accent 4"/>
    <w:basedOn w:val="7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>
    <w:name w:val="Lined - Accent 5"/>
    <w:basedOn w:val="7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>
    <w:name w:val="Lined - Accent 6"/>
    <w:basedOn w:val="7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>
    <w:name w:val="Bordered &amp; Lined - Accent"/>
    <w:basedOn w:val="7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>
    <w:name w:val="Bordered &amp; Lined - Accent 1"/>
    <w:basedOn w:val="7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>
    <w:name w:val="Bordered &amp; Lined - Accent 2"/>
    <w:basedOn w:val="7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>
    <w:name w:val="Bordered &amp; Lined - Accent 3"/>
    <w:basedOn w:val="7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Bordered &amp; Lined - Accent 4"/>
    <w:basedOn w:val="7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>
    <w:name w:val="Bordered &amp; Lined - Accent 5"/>
    <w:basedOn w:val="7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Bordered &amp; Lined - Accent 6"/>
    <w:basedOn w:val="78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Bordered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Bordered - Accent 1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Bordered - Accent 2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>
    <w:name w:val="Bordered - Accent 3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Bordered - Accent 4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8">
    <w:name w:val="Bordered - Accent 5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9">
    <w:name w:val="Bordered - Accent 6"/>
    <w:basedOn w:val="78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10">
    <w:name w:val="Heading 1"/>
    <w:basedOn w:val="972"/>
    <w:next w:val="972"/>
    <w:link w:val="919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911">
    <w:name w:val="Heading 2"/>
    <w:basedOn w:val="972"/>
    <w:next w:val="972"/>
    <w:link w:val="92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912">
    <w:name w:val="Heading 3"/>
    <w:basedOn w:val="972"/>
    <w:next w:val="972"/>
    <w:link w:val="92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913">
    <w:name w:val="Heading 4"/>
    <w:basedOn w:val="972"/>
    <w:next w:val="972"/>
    <w:link w:val="92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914">
    <w:name w:val="Heading 5"/>
    <w:basedOn w:val="972"/>
    <w:next w:val="972"/>
    <w:link w:val="92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915">
    <w:name w:val="Heading 6"/>
    <w:basedOn w:val="972"/>
    <w:next w:val="972"/>
    <w:link w:val="92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916">
    <w:name w:val="Heading 7"/>
    <w:basedOn w:val="972"/>
    <w:next w:val="972"/>
    <w:link w:val="92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917">
    <w:name w:val="Heading 8"/>
    <w:basedOn w:val="972"/>
    <w:next w:val="972"/>
    <w:link w:val="92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918">
    <w:name w:val="Heading 9"/>
    <w:basedOn w:val="972"/>
    <w:next w:val="972"/>
    <w:link w:val="92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919">
    <w:name w:val="Heading 1 Char"/>
    <w:basedOn w:val="969"/>
    <w:link w:val="91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920">
    <w:name w:val="Heading 2 Char"/>
    <w:basedOn w:val="969"/>
    <w:link w:val="91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921">
    <w:name w:val="Heading 3 Char"/>
    <w:basedOn w:val="969"/>
    <w:link w:val="91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922">
    <w:name w:val="Heading 4 Char"/>
    <w:basedOn w:val="969"/>
    <w:link w:val="913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923">
    <w:name w:val="Heading 5 Char"/>
    <w:basedOn w:val="969"/>
    <w:link w:val="91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924">
    <w:name w:val="Heading 6 Char"/>
    <w:basedOn w:val="969"/>
    <w:link w:val="915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925">
    <w:name w:val="Heading 7 Char"/>
    <w:basedOn w:val="969"/>
    <w:link w:val="916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926">
    <w:name w:val="Heading 8 Char"/>
    <w:basedOn w:val="969"/>
    <w:link w:val="91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927">
    <w:name w:val="Heading 9 Char"/>
    <w:basedOn w:val="969"/>
    <w:link w:val="91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928">
    <w:name w:val="Title"/>
    <w:basedOn w:val="972"/>
    <w:next w:val="972"/>
    <w:link w:val="92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929">
    <w:name w:val="Title Char"/>
    <w:basedOn w:val="969"/>
    <w:link w:val="92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930">
    <w:name w:val="Subtitle"/>
    <w:basedOn w:val="972"/>
    <w:next w:val="972"/>
    <w:link w:val="93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931">
    <w:name w:val="Subtitle Char"/>
    <w:basedOn w:val="969"/>
    <w:link w:val="93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932">
    <w:name w:val="Quote"/>
    <w:basedOn w:val="972"/>
    <w:next w:val="972"/>
    <w:link w:val="93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933">
    <w:name w:val="Quote Char"/>
    <w:basedOn w:val="969"/>
    <w:link w:val="932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934">
    <w:name w:val="Intense Emphasis"/>
    <w:basedOn w:val="969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935">
    <w:name w:val="Intense Quote"/>
    <w:basedOn w:val="972"/>
    <w:next w:val="972"/>
    <w:link w:val="936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936">
    <w:name w:val="Intense Quote Char"/>
    <w:basedOn w:val="969"/>
    <w:link w:val="935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937">
    <w:name w:val="Intense Reference"/>
    <w:basedOn w:val="969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938">
    <w:name w:val="No Spacing"/>
    <w:basedOn w:val="972"/>
    <w:uiPriority w:val="1"/>
    <w:qFormat/>
    <w:pPr>
      <w:pBdr/>
      <w:spacing w:after="0" w:line="240" w:lineRule="auto"/>
      <w:ind/>
    </w:pPr>
  </w:style>
  <w:style w:type="character" w:styleId="939">
    <w:name w:val="Subtle Emphasis"/>
    <w:basedOn w:val="969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940">
    <w:name w:val="Emphasis"/>
    <w:basedOn w:val="969"/>
    <w:uiPriority w:val="20"/>
    <w:qFormat/>
    <w:pPr>
      <w:pBdr/>
      <w:spacing/>
      <w:ind/>
    </w:pPr>
    <w:rPr>
      <w:i/>
      <w:iCs/>
    </w:rPr>
  </w:style>
  <w:style w:type="character" w:styleId="941">
    <w:name w:val="Strong"/>
    <w:basedOn w:val="969"/>
    <w:uiPriority w:val="22"/>
    <w:qFormat/>
    <w:pPr>
      <w:pBdr/>
      <w:spacing/>
      <w:ind/>
    </w:pPr>
    <w:rPr>
      <w:b/>
      <w:bCs/>
    </w:rPr>
  </w:style>
  <w:style w:type="character" w:styleId="942">
    <w:name w:val="Subtle Reference"/>
    <w:basedOn w:val="969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943">
    <w:name w:val="Book Title"/>
    <w:basedOn w:val="969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944">
    <w:name w:val="Header"/>
    <w:basedOn w:val="972"/>
    <w:link w:val="945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45">
    <w:name w:val="Header Char"/>
    <w:basedOn w:val="969"/>
    <w:link w:val="944"/>
    <w:uiPriority w:val="99"/>
    <w:pPr>
      <w:pBdr/>
      <w:spacing/>
      <w:ind/>
    </w:pPr>
  </w:style>
  <w:style w:type="paragraph" w:styleId="946">
    <w:name w:val="Footer"/>
    <w:basedOn w:val="972"/>
    <w:link w:val="947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47">
    <w:name w:val="Footer Char"/>
    <w:basedOn w:val="969"/>
    <w:link w:val="946"/>
    <w:uiPriority w:val="99"/>
    <w:pPr>
      <w:pBdr/>
      <w:spacing/>
      <w:ind/>
    </w:pPr>
  </w:style>
  <w:style w:type="paragraph" w:styleId="948">
    <w:name w:val="Caption"/>
    <w:basedOn w:val="972"/>
    <w:next w:val="972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949">
    <w:name w:val="footnote text"/>
    <w:basedOn w:val="972"/>
    <w:link w:val="950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50">
    <w:name w:val="Footnote Text Char"/>
    <w:basedOn w:val="969"/>
    <w:link w:val="949"/>
    <w:uiPriority w:val="99"/>
    <w:semiHidden/>
    <w:pPr>
      <w:pBdr/>
      <w:spacing/>
      <w:ind/>
    </w:pPr>
    <w:rPr>
      <w:sz w:val="20"/>
      <w:szCs w:val="20"/>
    </w:rPr>
  </w:style>
  <w:style w:type="character" w:styleId="951">
    <w:name w:val="footnote reference"/>
    <w:basedOn w:val="969"/>
    <w:uiPriority w:val="99"/>
    <w:semiHidden/>
    <w:unhideWhenUsed/>
    <w:pPr>
      <w:pBdr/>
      <w:spacing/>
      <w:ind/>
    </w:pPr>
    <w:rPr>
      <w:vertAlign w:val="superscript"/>
    </w:rPr>
  </w:style>
  <w:style w:type="paragraph" w:styleId="952">
    <w:name w:val="endnote text"/>
    <w:basedOn w:val="972"/>
    <w:link w:val="95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53">
    <w:name w:val="Endnote Text Char"/>
    <w:basedOn w:val="969"/>
    <w:link w:val="952"/>
    <w:uiPriority w:val="99"/>
    <w:semiHidden/>
    <w:pPr>
      <w:pBdr/>
      <w:spacing/>
      <w:ind/>
    </w:pPr>
    <w:rPr>
      <w:sz w:val="20"/>
      <w:szCs w:val="20"/>
    </w:rPr>
  </w:style>
  <w:style w:type="character" w:styleId="954">
    <w:name w:val="endnote reference"/>
    <w:basedOn w:val="969"/>
    <w:uiPriority w:val="99"/>
    <w:semiHidden/>
    <w:unhideWhenUsed/>
    <w:pPr>
      <w:pBdr/>
      <w:spacing/>
      <w:ind/>
    </w:pPr>
    <w:rPr>
      <w:vertAlign w:val="superscript"/>
    </w:rPr>
  </w:style>
  <w:style w:type="character" w:styleId="955">
    <w:name w:val="Hyperlink"/>
    <w:basedOn w:val="969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56">
    <w:name w:val="FollowedHyperlink"/>
    <w:basedOn w:val="969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57">
    <w:name w:val="toc 1"/>
    <w:basedOn w:val="972"/>
    <w:next w:val="972"/>
    <w:uiPriority w:val="39"/>
    <w:unhideWhenUsed/>
    <w:pPr>
      <w:pBdr/>
      <w:spacing w:after="100"/>
      <w:ind/>
    </w:pPr>
  </w:style>
  <w:style w:type="paragraph" w:styleId="958">
    <w:name w:val="toc 2"/>
    <w:basedOn w:val="972"/>
    <w:next w:val="972"/>
    <w:uiPriority w:val="39"/>
    <w:unhideWhenUsed/>
    <w:pPr>
      <w:pBdr/>
      <w:spacing w:after="100"/>
      <w:ind w:left="220"/>
    </w:pPr>
  </w:style>
  <w:style w:type="paragraph" w:styleId="959">
    <w:name w:val="toc 3"/>
    <w:basedOn w:val="972"/>
    <w:next w:val="972"/>
    <w:uiPriority w:val="39"/>
    <w:unhideWhenUsed/>
    <w:pPr>
      <w:pBdr/>
      <w:spacing w:after="100"/>
      <w:ind w:left="440"/>
    </w:pPr>
  </w:style>
  <w:style w:type="paragraph" w:styleId="960">
    <w:name w:val="toc 4"/>
    <w:basedOn w:val="972"/>
    <w:next w:val="972"/>
    <w:uiPriority w:val="39"/>
    <w:unhideWhenUsed/>
    <w:pPr>
      <w:pBdr/>
      <w:spacing w:after="100"/>
      <w:ind w:left="660"/>
    </w:pPr>
  </w:style>
  <w:style w:type="paragraph" w:styleId="961">
    <w:name w:val="toc 5"/>
    <w:basedOn w:val="972"/>
    <w:next w:val="972"/>
    <w:uiPriority w:val="39"/>
    <w:unhideWhenUsed/>
    <w:pPr>
      <w:pBdr/>
      <w:spacing w:after="100"/>
      <w:ind w:left="880"/>
    </w:pPr>
  </w:style>
  <w:style w:type="paragraph" w:styleId="962">
    <w:name w:val="toc 6"/>
    <w:basedOn w:val="972"/>
    <w:next w:val="972"/>
    <w:uiPriority w:val="39"/>
    <w:unhideWhenUsed/>
    <w:pPr>
      <w:pBdr/>
      <w:spacing w:after="100"/>
      <w:ind w:left="1100"/>
    </w:pPr>
  </w:style>
  <w:style w:type="paragraph" w:styleId="963">
    <w:name w:val="toc 7"/>
    <w:basedOn w:val="972"/>
    <w:next w:val="972"/>
    <w:uiPriority w:val="39"/>
    <w:unhideWhenUsed/>
    <w:pPr>
      <w:pBdr/>
      <w:spacing w:after="100"/>
      <w:ind w:left="1320"/>
    </w:pPr>
  </w:style>
  <w:style w:type="paragraph" w:styleId="964">
    <w:name w:val="toc 8"/>
    <w:basedOn w:val="972"/>
    <w:next w:val="972"/>
    <w:uiPriority w:val="39"/>
    <w:unhideWhenUsed/>
    <w:pPr>
      <w:pBdr/>
      <w:spacing w:after="100"/>
      <w:ind w:left="1540"/>
    </w:pPr>
  </w:style>
  <w:style w:type="paragraph" w:styleId="965">
    <w:name w:val="toc 9"/>
    <w:basedOn w:val="972"/>
    <w:next w:val="972"/>
    <w:uiPriority w:val="39"/>
    <w:unhideWhenUsed/>
    <w:pPr>
      <w:pBdr/>
      <w:spacing w:after="100"/>
      <w:ind w:left="1760"/>
    </w:pPr>
  </w:style>
  <w:style w:type="character" w:styleId="966">
    <w:name w:val="Placeholder Text"/>
    <w:basedOn w:val="969"/>
    <w:uiPriority w:val="99"/>
    <w:semiHidden/>
    <w:pPr>
      <w:pBdr/>
      <w:spacing/>
      <w:ind/>
    </w:pPr>
    <w:rPr>
      <w:color w:val="666666"/>
    </w:rPr>
  </w:style>
  <w:style w:type="paragraph" w:styleId="967">
    <w:name w:val="TOC Heading"/>
    <w:uiPriority w:val="39"/>
    <w:unhideWhenUsed/>
    <w:pPr>
      <w:pBdr/>
      <w:spacing/>
      <w:ind/>
    </w:pPr>
  </w:style>
  <w:style w:type="paragraph" w:styleId="968">
    <w:name w:val="table of figures"/>
    <w:basedOn w:val="972"/>
    <w:next w:val="972"/>
    <w:uiPriority w:val="99"/>
    <w:unhideWhenUsed/>
    <w:pPr>
      <w:pBdr/>
      <w:spacing w:after="0" w:afterAutospacing="0"/>
      <w:ind/>
    </w:pPr>
  </w:style>
  <w:style w:type="character" w:styleId="969" w:default="1">
    <w:name w:val="Default Paragraph Font"/>
    <w:uiPriority w:val="1"/>
    <w:semiHidden/>
    <w:unhideWhenUsed/>
    <w:pPr>
      <w:pBdr/>
      <w:spacing/>
      <w:ind/>
    </w:pPr>
  </w:style>
  <w:style w:type="table" w:styleId="970">
    <w:name w:val="Table Normal"/>
    <w:uiPriority w:val="2"/>
    <w:semiHidden/>
    <w:unhideWhenUsed/>
    <w:qFormat/>
    <w:pPr>
      <w:pBdr/>
      <w:spacing/>
      <w:ind/>
    </w:pPr>
    <w:tblPr>
      <w:tblInd w:w="0" w:type="dxa"/>
      <w:tblCellMar>
        <w:left w:w="0" w:type="dxa"/>
        <w:top w:w="0" w:type="dxa"/>
        <w:right w:w="0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71" w:default="1">
    <w:name w:val="No List"/>
    <w:uiPriority w:val="99"/>
    <w:semiHidden/>
    <w:unhideWhenUsed/>
    <w:pPr>
      <w:pBdr/>
      <w:spacing/>
      <w:ind/>
    </w:pPr>
  </w:style>
  <w:style w:type="paragraph" w:styleId="972" w:default="1">
    <w:name w:val="Normal"/>
    <w:uiPriority w:val="1"/>
    <w:qFormat/>
    <w:pPr>
      <w:pBdr/>
      <w:spacing/>
      <w:ind/>
    </w:pPr>
    <w:rPr>
      <w:rFonts w:ascii="Times New Roman" w:hAnsi="Times New Roman" w:eastAsia="Times New Roman" w:cs="Times New Roman"/>
      <w:lang w:val="uk-UA" w:eastAsia="en-US" w:bidi="ar-SA"/>
    </w:rPr>
  </w:style>
  <w:style w:type="paragraph" w:styleId="973">
    <w:name w:val="Body Text"/>
    <w:basedOn w:val="972"/>
    <w:uiPriority w:val="1"/>
    <w:qFormat/>
    <w:pPr>
      <w:pBdr/>
      <w:spacing/>
      <w:ind w:left="143"/>
      <w:jc w:val="both"/>
    </w:pPr>
    <w:rPr>
      <w:rFonts w:ascii="Times New Roman" w:hAnsi="Times New Roman" w:eastAsia="Times New Roman" w:cs="Times New Roman"/>
      <w:sz w:val="28"/>
      <w:szCs w:val="28"/>
      <w:lang w:val="uk-UA" w:eastAsia="en-US" w:bidi="ar-SA"/>
    </w:rPr>
  </w:style>
  <w:style w:type="paragraph" w:styleId="974">
    <w:name w:val="List Paragraph"/>
    <w:basedOn w:val="972"/>
    <w:uiPriority w:val="1"/>
    <w:qFormat/>
    <w:pPr>
      <w:pBdr/>
      <w:spacing/>
      <w:ind/>
    </w:pPr>
    <w:rPr>
      <w:lang w:val="uk-UA" w:eastAsia="en-US" w:bidi="ar-SA"/>
    </w:rPr>
  </w:style>
  <w:style w:type="paragraph" w:styleId="975">
    <w:name w:val="Table Paragraph"/>
    <w:basedOn w:val="972"/>
    <w:uiPriority w:val="1"/>
    <w:qFormat/>
    <w:pPr>
      <w:pBdr/>
      <w:spacing/>
      <w:ind w:left="19"/>
      <w:jc w:val="center"/>
    </w:pPr>
    <w:rPr>
      <w:rFonts w:ascii="Times New Roman" w:hAnsi="Times New Roman" w:eastAsia="Times New Roman" w:cs="Times New Roman"/>
      <w:lang w:val="uk-UA" w:eastAsia="en-US" w:bidi="ar-SA"/>
    </w:rPr>
  </w:style>
  <w:style w:type="paragraph" w:styleId="976" w:customStyle="1">
    <w:name w:val="EMPTY_CELL_STYLE"/>
    <w:qFormat/>
    <w:pPr>
      <w:keepNext w:val="false"/>
      <w:keepLines w:val="false"/>
      <w:pageBreakBefore w:val="false"/>
      <w:widowControl w:val="true"/>
      <w:suppressLineNumbers w:val="false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hd w:val="nil"/>
      <w:bidi w:val="false"/>
      <w:spacing w:after="0" w:afterAutospacing="0" w:before="0" w:beforeAutospacing="0" w:line="240" w:lineRule="auto"/>
      <w:ind w:right="0" w:firstLine="0" w:left="0"/>
      <w:contextualSpacing w:val="false"/>
      <w:jc w:val="left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1"/>
      <w:szCs w:val="20"/>
      <w:highlight w:val="none"/>
      <w:u w:val="none"/>
      <w:vertAlign w:val="baseline"/>
      <w:rtl w:val="0"/>
      <w:cs w:val="0"/>
      <w:lang w:val="uk-UA" w:eastAsia="uk-UA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image" Target="media/image1.jpg"/><Relationship Id="rId12" Type="http://schemas.openxmlformats.org/officeDocument/2006/relationships/hyperlink" Target="https://krasnograd-rada.gov.ua/struktura-mr/viddil-sport/" TargetMode="External"/><Relationship Id="rId13" Type="http://schemas.openxmlformats.org/officeDocument/2006/relationships/hyperlink" Target="https://krasnograd-rada.gov.ua/viddil-oboronnoi-i-mobilizatsiinoi-roboty-ta-tsyvilnoho-zakhystu/" TargetMode="External"/><Relationship Id="rId14" Type="http://schemas.openxmlformats.org/officeDocument/2006/relationships/hyperlink" Target="https://krasnograd-rada.gov.ua/struktura-mr/viddil-sport/" TargetMode="External"/><Relationship Id="rId15" Type="http://schemas.openxmlformats.org/officeDocument/2006/relationships/hyperlink" Target="https://krasnograd-rada.gov.ua/viddil-zhytlovo-komunalnoho-hospodarstva-blahoustroyu-ekonomichnoho-ta-infrastrukturnoho-rozvytku/" TargetMode="External"/><Relationship Id="rId16" Type="http://schemas.openxmlformats.org/officeDocument/2006/relationships/hyperlink" Target="https://krasnograd-rada.gov.ua/viddil-zhytlovo-komunalnoho-hospodarstva-blahoustroyu-ekonomichnoho-ta-infrastrukturnoho-rozvytk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ДЕМЕНЧУК Світлана Степанівна</dc:creator>
  <cp:revision>22</cp:revision>
  <dcterms:created xsi:type="dcterms:W3CDTF">2026-06-17T07:34:31Z</dcterms:created>
  <dcterms:modified xsi:type="dcterms:W3CDTF">2026-08-06T11:43:54Z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2026-05-28T00:00:00Z</vt:filetime>
  </property>
  <property fmtid="{D5CDD505-2E9C-101B-9397-08002B2CF9AE}" pid="4" name="LastSaved">
    <vt:filetime>2026-06-17T00:00:00Z</vt:filetime>
  </property>
  <property fmtid="{D5CDD505-2E9C-101B-9397-08002B2CF9AE}" pid="5" name="Producer">
    <vt:lpwstr>Aspose.Words for .NET 26.3.0</vt:lpwstr>
  </property>
</Properties>
</file>